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E37" w:rsidRPr="006E6F46" w:rsidRDefault="006E6F46" w:rsidP="006E6F46">
      <w:pPr>
        <w:jc w:val="center"/>
        <w:rPr>
          <w:rFonts w:ascii="Comic Sans MS" w:hAnsi="Comic Sans MS"/>
          <w:color w:val="7030A0"/>
          <w:sz w:val="32"/>
          <w:szCs w:val="32"/>
          <w:u w:val="single"/>
        </w:rPr>
      </w:pPr>
      <w:r w:rsidRPr="006E6F46">
        <w:rPr>
          <w:rFonts w:ascii="Comic Sans MS" w:hAnsi="Comic Sans MS"/>
          <w:color w:val="7030A0"/>
          <w:sz w:val="32"/>
          <w:szCs w:val="32"/>
          <w:u w:val="single"/>
        </w:rPr>
        <w:t>Introducción al concurso</w:t>
      </w:r>
      <w:r w:rsidR="006B422B">
        <w:rPr>
          <w:rFonts w:ascii="Comic Sans MS" w:hAnsi="Comic Sans MS"/>
          <w:color w:val="7030A0"/>
          <w:sz w:val="32"/>
          <w:szCs w:val="32"/>
          <w:u w:val="single"/>
        </w:rPr>
        <w:t xml:space="preserve"> (Sdo cuatrimestre 2016/ Sdo</w:t>
      </w:r>
      <w:bookmarkStart w:id="0" w:name="_GoBack"/>
      <w:bookmarkEnd w:id="0"/>
      <w:r w:rsidR="006B422B">
        <w:rPr>
          <w:rFonts w:ascii="Comic Sans MS" w:hAnsi="Comic Sans MS"/>
          <w:color w:val="7030A0"/>
          <w:sz w:val="32"/>
          <w:szCs w:val="32"/>
          <w:u w:val="single"/>
        </w:rPr>
        <w:t>. Parcial)</w:t>
      </w:r>
    </w:p>
    <w:p w:rsidR="006E6F46" w:rsidRPr="006E6F46" w:rsidRDefault="006E6F46" w:rsidP="003819F3">
      <w:pPr>
        <w:jc w:val="both"/>
        <w:rPr>
          <w:rFonts w:ascii="Comic Sans MS" w:hAnsi="Comic Sans MS"/>
          <w:color w:val="FF0000"/>
          <w:sz w:val="24"/>
          <w:szCs w:val="24"/>
          <w:u w:val="single"/>
        </w:rPr>
      </w:pPr>
      <w:r w:rsidRPr="006E6F46">
        <w:rPr>
          <w:rFonts w:ascii="Comic Sans MS" w:hAnsi="Comic Sans MS"/>
          <w:color w:val="FF0000"/>
          <w:sz w:val="24"/>
          <w:szCs w:val="24"/>
          <w:u w:val="single"/>
        </w:rPr>
        <w:t xml:space="preserve">Clases de concurso: </w:t>
      </w:r>
    </w:p>
    <w:p w:rsidR="006E6F46" w:rsidRPr="003819F3" w:rsidRDefault="006E6F46" w:rsidP="003819F3">
      <w:pPr>
        <w:pStyle w:val="Prrafodelista"/>
        <w:numPr>
          <w:ilvl w:val="0"/>
          <w:numId w:val="1"/>
        </w:numPr>
        <w:jc w:val="both"/>
        <w:rPr>
          <w:rFonts w:ascii="Comic Sans MS" w:hAnsi="Comic Sans MS"/>
          <w:sz w:val="20"/>
          <w:szCs w:val="20"/>
        </w:rPr>
      </w:pPr>
      <w:r w:rsidRPr="003819F3">
        <w:rPr>
          <w:rFonts w:ascii="Comic Sans MS" w:hAnsi="Comic Sans MS"/>
          <w:color w:val="0070C0"/>
          <w:sz w:val="20"/>
          <w:szCs w:val="20"/>
          <w:u w:val="single"/>
        </w:rPr>
        <w:t xml:space="preserve">Concurso Preventivo: </w:t>
      </w:r>
      <w:r w:rsidRPr="003819F3">
        <w:rPr>
          <w:rFonts w:ascii="Comic Sans MS" w:hAnsi="Comic Sans MS"/>
          <w:sz w:val="20"/>
          <w:szCs w:val="20"/>
        </w:rPr>
        <w:t xml:space="preserve">es un proceso tendiente a lograr un acuerdo entre el deudor y sus acreedores para superar el estado de cesación de pago y evitar la quiebra. Solo procede a pedido  del propio deudor. </w:t>
      </w:r>
    </w:p>
    <w:p w:rsidR="006E6F46" w:rsidRPr="003819F3" w:rsidRDefault="006E6F46" w:rsidP="003819F3">
      <w:pPr>
        <w:pStyle w:val="Prrafodelista"/>
        <w:numPr>
          <w:ilvl w:val="0"/>
          <w:numId w:val="1"/>
        </w:numPr>
        <w:jc w:val="both"/>
        <w:rPr>
          <w:rFonts w:ascii="Comic Sans MS" w:hAnsi="Comic Sans MS"/>
          <w:sz w:val="20"/>
          <w:szCs w:val="20"/>
        </w:rPr>
      </w:pPr>
      <w:r w:rsidRPr="003819F3">
        <w:rPr>
          <w:rFonts w:ascii="Comic Sans MS" w:hAnsi="Comic Sans MS"/>
          <w:color w:val="0070C0"/>
          <w:sz w:val="20"/>
          <w:szCs w:val="20"/>
          <w:u w:val="single"/>
        </w:rPr>
        <w:t>La Quiebra:</w:t>
      </w:r>
      <w:r w:rsidRPr="003819F3">
        <w:rPr>
          <w:rFonts w:ascii="Comic Sans MS" w:hAnsi="Comic Sans MS"/>
          <w:color w:val="0070C0"/>
          <w:sz w:val="20"/>
          <w:szCs w:val="20"/>
        </w:rPr>
        <w:t xml:space="preserve"> </w:t>
      </w:r>
      <w:r w:rsidRPr="003819F3">
        <w:rPr>
          <w:rFonts w:ascii="Comic Sans MS" w:hAnsi="Comic Sans MS"/>
          <w:sz w:val="20"/>
          <w:szCs w:val="20"/>
        </w:rPr>
        <w:t>es un proceso por el cual se liquidan todos los bienes del deudor para hacer frente al cumplimiento de sus obligaciones. Puede ser directa ( a pedido del deudor o acreedor) o Indirecta (cuando fracasa el concurso preventivo)</w:t>
      </w:r>
    </w:p>
    <w:p w:rsidR="006E6F46" w:rsidRDefault="006E6F46" w:rsidP="003819F3">
      <w:pPr>
        <w:ind w:left="360"/>
        <w:jc w:val="both"/>
        <w:rPr>
          <w:rFonts w:ascii="Comic Sans MS" w:hAnsi="Comic Sans MS"/>
          <w:sz w:val="20"/>
          <w:szCs w:val="20"/>
        </w:rPr>
      </w:pPr>
      <w:r w:rsidRPr="003819F3">
        <w:rPr>
          <w:rFonts w:ascii="Comic Sans MS" w:hAnsi="Comic Sans MS"/>
          <w:sz w:val="20"/>
          <w:szCs w:val="20"/>
        </w:rPr>
        <w:t xml:space="preserve">• La ley de concursos también se refiere a un tercer instituto, el </w:t>
      </w:r>
      <w:r w:rsidRPr="003819F3">
        <w:rPr>
          <w:rFonts w:ascii="Comic Sans MS" w:hAnsi="Comic Sans MS"/>
          <w:i/>
          <w:sz w:val="20"/>
          <w:szCs w:val="20"/>
        </w:rPr>
        <w:t>“acuerdo preventivo extrajudicial”</w:t>
      </w:r>
      <w:r w:rsidRPr="003819F3">
        <w:rPr>
          <w:rFonts w:ascii="Comic Sans MS" w:hAnsi="Comic Sans MS"/>
          <w:sz w:val="20"/>
          <w:szCs w:val="20"/>
        </w:rPr>
        <w:t xml:space="preserve"> (APC). No se trata de un concurso, sino un acuerdo extrajudicial entre el deudor y todos o parte de los acreedores, tendiente a solucionar la crisis económica de manera rápida, económica y con discreción.</w:t>
      </w:r>
    </w:p>
    <w:p w:rsidR="003819F3" w:rsidRPr="003819F3" w:rsidRDefault="003819F3" w:rsidP="003819F3">
      <w:pPr>
        <w:ind w:left="360"/>
        <w:jc w:val="both"/>
        <w:rPr>
          <w:rFonts w:ascii="Comic Sans MS" w:hAnsi="Comic Sans MS"/>
          <w:color w:val="FF0000"/>
          <w:sz w:val="24"/>
          <w:szCs w:val="24"/>
          <w:u w:val="single"/>
        </w:rPr>
      </w:pPr>
      <w:r w:rsidRPr="003819F3">
        <w:rPr>
          <w:rFonts w:ascii="Comic Sans MS" w:hAnsi="Comic Sans MS"/>
          <w:color w:val="FF0000"/>
          <w:sz w:val="24"/>
          <w:szCs w:val="24"/>
          <w:u w:val="single"/>
        </w:rPr>
        <w:t>Clasificación de concursos:</w:t>
      </w:r>
    </w:p>
    <w:p w:rsidR="003819F3" w:rsidRPr="003819F3" w:rsidRDefault="003819F3" w:rsidP="003819F3">
      <w:pPr>
        <w:pStyle w:val="Prrafodelista"/>
        <w:numPr>
          <w:ilvl w:val="0"/>
          <w:numId w:val="2"/>
        </w:numPr>
        <w:jc w:val="both"/>
        <w:rPr>
          <w:rFonts w:ascii="Comic Sans MS" w:hAnsi="Comic Sans MS"/>
          <w:color w:val="0070C0"/>
          <w:sz w:val="20"/>
          <w:szCs w:val="20"/>
          <w:u w:val="single"/>
        </w:rPr>
      </w:pPr>
      <w:r w:rsidRPr="003819F3">
        <w:rPr>
          <w:rFonts w:ascii="Comic Sans MS" w:hAnsi="Comic Sans MS"/>
          <w:color w:val="0070C0"/>
          <w:sz w:val="20"/>
          <w:szCs w:val="20"/>
          <w:u w:val="single"/>
        </w:rPr>
        <w:t xml:space="preserve">Pequeños concursos: </w:t>
      </w:r>
    </w:p>
    <w:p w:rsidR="003819F3" w:rsidRDefault="003819F3" w:rsidP="003819F3">
      <w:pPr>
        <w:pStyle w:val="Prrafodelista"/>
        <w:jc w:val="both"/>
        <w:rPr>
          <w:rFonts w:ascii="Comic Sans MS" w:hAnsi="Comic Sans MS"/>
          <w:sz w:val="20"/>
          <w:szCs w:val="20"/>
        </w:rPr>
      </w:pPr>
      <w:r>
        <w:rPr>
          <w:rFonts w:ascii="Comic Sans MS" w:hAnsi="Comic Sans MS"/>
          <w:sz w:val="20"/>
          <w:szCs w:val="20"/>
        </w:rPr>
        <w:t>• Que el pasivo denunciado no alcance al equivalente a 300 salarios mínimos, vitales y móviles.</w:t>
      </w:r>
    </w:p>
    <w:p w:rsidR="003819F3" w:rsidRDefault="003819F3" w:rsidP="003819F3">
      <w:pPr>
        <w:pStyle w:val="Prrafodelista"/>
        <w:jc w:val="both"/>
        <w:rPr>
          <w:rFonts w:ascii="Comic Sans MS" w:hAnsi="Comic Sans MS"/>
          <w:sz w:val="20"/>
          <w:szCs w:val="20"/>
        </w:rPr>
      </w:pPr>
      <w:r>
        <w:rPr>
          <w:rFonts w:ascii="Comic Sans MS" w:hAnsi="Comic Sans MS"/>
          <w:sz w:val="20"/>
          <w:szCs w:val="20"/>
        </w:rPr>
        <w:t>• Que el proceso no presente más de 20 acreedores quirografarios.</w:t>
      </w:r>
    </w:p>
    <w:p w:rsidR="003819F3" w:rsidRDefault="003819F3" w:rsidP="003819F3">
      <w:pPr>
        <w:pStyle w:val="Prrafodelista"/>
        <w:jc w:val="both"/>
        <w:rPr>
          <w:rFonts w:ascii="Comic Sans MS" w:hAnsi="Comic Sans MS"/>
          <w:sz w:val="20"/>
          <w:szCs w:val="20"/>
        </w:rPr>
      </w:pPr>
      <w:r>
        <w:rPr>
          <w:rFonts w:ascii="Comic Sans MS" w:hAnsi="Comic Sans MS"/>
          <w:sz w:val="20"/>
          <w:szCs w:val="20"/>
        </w:rPr>
        <w:t xml:space="preserve">• Que el deudor no posea más de 20 trabajadores en relación de dependencia, sin necesidad de declaración judicial.   </w:t>
      </w:r>
    </w:p>
    <w:p w:rsidR="003819F3" w:rsidRDefault="003819F3" w:rsidP="003819F3">
      <w:pPr>
        <w:pStyle w:val="Prrafodelista"/>
        <w:jc w:val="both"/>
        <w:rPr>
          <w:rFonts w:ascii="Comic Sans MS" w:hAnsi="Comic Sans MS"/>
          <w:sz w:val="20"/>
          <w:szCs w:val="20"/>
        </w:rPr>
      </w:pPr>
    </w:p>
    <w:p w:rsidR="003819F3" w:rsidRDefault="003819F3" w:rsidP="003819F3">
      <w:pPr>
        <w:pStyle w:val="Prrafodelista"/>
        <w:numPr>
          <w:ilvl w:val="0"/>
          <w:numId w:val="2"/>
        </w:numPr>
        <w:jc w:val="both"/>
        <w:rPr>
          <w:rFonts w:ascii="Comic Sans MS" w:hAnsi="Comic Sans MS"/>
          <w:sz w:val="20"/>
          <w:szCs w:val="20"/>
        </w:rPr>
      </w:pPr>
      <w:r w:rsidRPr="003819F3">
        <w:rPr>
          <w:rFonts w:ascii="Comic Sans MS" w:hAnsi="Comic Sans MS"/>
          <w:color w:val="0070C0"/>
          <w:sz w:val="20"/>
          <w:szCs w:val="20"/>
          <w:u w:val="single"/>
        </w:rPr>
        <w:t>Grandes concursos:</w:t>
      </w:r>
      <w:r>
        <w:rPr>
          <w:rFonts w:ascii="Comic Sans MS" w:hAnsi="Comic Sans MS"/>
          <w:sz w:val="20"/>
          <w:szCs w:val="20"/>
        </w:rPr>
        <w:t xml:space="preserve"> son los que “NO” reúnen ninguna de estas características. </w:t>
      </w:r>
    </w:p>
    <w:p w:rsidR="00DB6915" w:rsidRDefault="00DB6915" w:rsidP="00DB6915">
      <w:pPr>
        <w:ind w:left="360"/>
        <w:jc w:val="both"/>
        <w:rPr>
          <w:rFonts w:ascii="Comic Sans MS" w:hAnsi="Comic Sans MS"/>
          <w:sz w:val="20"/>
          <w:szCs w:val="20"/>
        </w:rPr>
      </w:pPr>
    </w:p>
    <w:p w:rsidR="00DB6915" w:rsidRDefault="00FC5F30" w:rsidP="00DB6915">
      <w:pPr>
        <w:ind w:left="360"/>
        <w:jc w:val="both"/>
        <w:rPr>
          <w:rFonts w:ascii="Comic Sans MS" w:hAnsi="Comic Sans MS"/>
          <w:color w:val="FF0000"/>
          <w:sz w:val="24"/>
          <w:szCs w:val="24"/>
          <w:u w:val="single"/>
        </w:rPr>
      </w:pPr>
      <w:r w:rsidRPr="00FC5F30">
        <w:rPr>
          <w:rFonts w:ascii="Comic Sans MS" w:hAnsi="Comic Sans MS"/>
          <w:color w:val="FF0000"/>
          <w:sz w:val="24"/>
          <w:szCs w:val="24"/>
          <w:u w:val="single"/>
        </w:rPr>
        <w:t>Características de los concursos:</w:t>
      </w:r>
    </w:p>
    <w:p w:rsidR="00FC5F30" w:rsidRPr="00FD1D74" w:rsidRDefault="00FC5F30" w:rsidP="00DB6915">
      <w:pPr>
        <w:ind w:left="360"/>
        <w:jc w:val="both"/>
        <w:rPr>
          <w:rFonts w:ascii="Comic Sans MS" w:hAnsi="Comic Sans MS"/>
          <w:sz w:val="20"/>
          <w:szCs w:val="20"/>
        </w:rPr>
      </w:pPr>
      <w:r w:rsidRPr="000353B5">
        <w:rPr>
          <w:rFonts w:ascii="Comic Sans MS" w:hAnsi="Comic Sans MS"/>
          <w:color w:val="0070C0"/>
          <w:sz w:val="20"/>
          <w:szCs w:val="20"/>
        </w:rPr>
        <w:t>•</w:t>
      </w:r>
      <w:r w:rsidRPr="00FD1D74">
        <w:rPr>
          <w:rFonts w:ascii="Comic Sans MS" w:hAnsi="Comic Sans MS"/>
          <w:sz w:val="20"/>
          <w:szCs w:val="20"/>
        </w:rPr>
        <w:t xml:space="preserve"> </w:t>
      </w:r>
      <w:r w:rsidRPr="009634E9">
        <w:rPr>
          <w:rFonts w:ascii="Comic Sans MS" w:hAnsi="Comic Sans MS"/>
          <w:color w:val="0070C0"/>
          <w:sz w:val="20"/>
          <w:szCs w:val="20"/>
          <w:u w:val="single"/>
        </w:rPr>
        <w:t>Universalidad:</w:t>
      </w:r>
      <w:r w:rsidRPr="00FD1D74">
        <w:rPr>
          <w:rFonts w:ascii="Comic Sans MS" w:hAnsi="Comic Sans MS"/>
          <w:sz w:val="20"/>
          <w:szCs w:val="20"/>
        </w:rPr>
        <w:t xml:space="preserve"> significa que van a quedar afectados al proceso todos los bienes del deudor. Sin embargo, la ley excluye ciertos bienes como ser el inmueble inscripto como bien de familia, los bienes necesarios para ejercer la profesión.</w:t>
      </w:r>
    </w:p>
    <w:p w:rsidR="00B67E86" w:rsidRPr="00FD1D74" w:rsidRDefault="00835F21" w:rsidP="00DB6915">
      <w:pPr>
        <w:ind w:left="360"/>
        <w:jc w:val="both"/>
        <w:rPr>
          <w:rFonts w:ascii="Comic Sans MS" w:hAnsi="Comic Sans MS"/>
          <w:sz w:val="20"/>
          <w:szCs w:val="20"/>
        </w:rPr>
      </w:pPr>
      <w:r w:rsidRPr="000353B5">
        <w:rPr>
          <w:rFonts w:ascii="Comic Sans MS" w:hAnsi="Comic Sans MS"/>
          <w:color w:val="0070C0"/>
          <w:sz w:val="20"/>
          <w:szCs w:val="20"/>
        </w:rPr>
        <w:t>•</w:t>
      </w:r>
      <w:r w:rsidRPr="00FD1D74">
        <w:rPr>
          <w:rFonts w:ascii="Comic Sans MS" w:hAnsi="Comic Sans MS"/>
          <w:sz w:val="20"/>
          <w:szCs w:val="20"/>
        </w:rPr>
        <w:t xml:space="preserve"> </w:t>
      </w:r>
      <w:r w:rsidRPr="000353B5">
        <w:rPr>
          <w:rFonts w:ascii="Comic Sans MS" w:hAnsi="Comic Sans MS"/>
          <w:color w:val="0070C0"/>
          <w:sz w:val="20"/>
          <w:szCs w:val="20"/>
          <w:u w:val="single"/>
        </w:rPr>
        <w:t>Colectividad:</w:t>
      </w:r>
      <w:r w:rsidRPr="00FD1D74">
        <w:rPr>
          <w:rFonts w:ascii="Comic Sans MS" w:hAnsi="Comic Sans MS"/>
          <w:sz w:val="20"/>
          <w:szCs w:val="20"/>
        </w:rPr>
        <w:t xml:space="preserve"> quedaran sometidos al proceso concursal todos los acreedores del deudor causa o </w:t>
      </w:r>
      <w:r w:rsidR="00B67E86" w:rsidRPr="00FD1D74">
        <w:rPr>
          <w:rFonts w:ascii="Comic Sans MS" w:hAnsi="Comic Sans MS"/>
          <w:sz w:val="20"/>
          <w:szCs w:val="20"/>
        </w:rPr>
        <w:t>título</w:t>
      </w:r>
      <w:r w:rsidRPr="00FD1D74">
        <w:rPr>
          <w:rFonts w:ascii="Comic Sans MS" w:hAnsi="Comic Sans MS"/>
          <w:sz w:val="20"/>
          <w:szCs w:val="20"/>
        </w:rPr>
        <w:t xml:space="preserve"> anterior </w:t>
      </w:r>
      <w:r w:rsidR="00B67E86" w:rsidRPr="00FD1D74">
        <w:rPr>
          <w:rFonts w:ascii="Comic Sans MS" w:hAnsi="Comic Sans MS"/>
          <w:sz w:val="20"/>
          <w:szCs w:val="20"/>
        </w:rPr>
        <w:t>a la presentación del concurso preventivo o a la declaración de la quiebra. En cambio, los de causa o título posterior quedan excluidos del proceso concursal.</w:t>
      </w:r>
    </w:p>
    <w:p w:rsidR="00B67E86" w:rsidRPr="00FD1D74" w:rsidRDefault="00B67E86" w:rsidP="00B67E86">
      <w:pPr>
        <w:ind w:left="360"/>
        <w:jc w:val="both"/>
        <w:rPr>
          <w:rFonts w:ascii="Comic Sans MS" w:hAnsi="Comic Sans MS"/>
          <w:sz w:val="20"/>
          <w:szCs w:val="20"/>
        </w:rPr>
      </w:pPr>
      <w:r w:rsidRPr="000353B5">
        <w:rPr>
          <w:rFonts w:ascii="Comic Sans MS" w:hAnsi="Comic Sans MS"/>
          <w:color w:val="0070C0"/>
          <w:sz w:val="20"/>
          <w:szCs w:val="20"/>
        </w:rPr>
        <w:t>•</w:t>
      </w:r>
      <w:r w:rsidRPr="00FD1D74">
        <w:rPr>
          <w:rFonts w:ascii="Comic Sans MS" w:hAnsi="Comic Sans MS"/>
          <w:sz w:val="20"/>
          <w:szCs w:val="20"/>
        </w:rPr>
        <w:t xml:space="preserve"> </w:t>
      </w:r>
      <w:r w:rsidRPr="000353B5">
        <w:rPr>
          <w:rFonts w:ascii="Comic Sans MS" w:hAnsi="Comic Sans MS"/>
          <w:color w:val="0070C0"/>
          <w:sz w:val="20"/>
          <w:szCs w:val="20"/>
          <w:u w:val="single"/>
        </w:rPr>
        <w:t>Igualdad:</w:t>
      </w:r>
      <w:r w:rsidRPr="00FD1D74">
        <w:rPr>
          <w:rFonts w:ascii="Comic Sans MS" w:hAnsi="Comic Sans MS"/>
          <w:sz w:val="20"/>
          <w:szCs w:val="20"/>
        </w:rPr>
        <w:t xml:space="preserve"> los acreedores concurrirán al proceso en igualdad de condiciones.</w:t>
      </w:r>
      <w:r w:rsidRPr="00FD1D74">
        <w:rPr>
          <w:rFonts w:ascii="Comic Sans MS" w:hAnsi="Comic Sans MS"/>
          <w:sz w:val="20"/>
          <w:szCs w:val="20"/>
        </w:rPr>
        <w:br/>
        <w:t>Los privilegios que otorga la ley a ciertos acreedores no son una excepción sino una confirmación a la regla, ya que esta no implica una igualdad absoluta, sino una “igualdad entre iguales” ¿Qué significa esto? Que todos los acreedores que pertenezcan a la misma categoría concurrirán en igualdad de condiciones.</w:t>
      </w:r>
    </w:p>
    <w:p w:rsidR="00FD1D74" w:rsidRDefault="00B67E86" w:rsidP="00B67E86">
      <w:pPr>
        <w:ind w:left="360"/>
        <w:jc w:val="both"/>
        <w:rPr>
          <w:rFonts w:ascii="Comic Sans MS" w:hAnsi="Comic Sans MS"/>
          <w:sz w:val="20"/>
          <w:szCs w:val="20"/>
        </w:rPr>
      </w:pPr>
      <w:r w:rsidRPr="000353B5">
        <w:rPr>
          <w:rFonts w:ascii="Comic Sans MS" w:hAnsi="Comic Sans MS"/>
          <w:color w:val="0070C0"/>
          <w:sz w:val="20"/>
          <w:szCs w:val="20"/>
        </w:rPr>
        <w:lastRenderedPageBreak/>
        <w:t>•</w:t>
      </w:r>
      <w:r w:rsidRPr="00FD1D74">
        <w:rPr>
          <w:rFonts w:ascii="Comic Sans MS" w:hAnsi="Comic Sans MS"/>
          <w:sz w:val="20"/>
          <w:szCs w:val="20"/>
        </w:rPr>
        <w:t xml:space="preserve"> </w:t>
      </w:r>
      <w:r w:rsidRPr="000353B5">
        <w:rPr>
          <w:rFonts w:ascii="Comic Sans MS" w:hAnsi="Comic Sans MS"/>
          <w:color w:val="0070C0"/>
          <w:sz w:val="20"/>
          <w:szCs w:val="20"/>
          <w:u w:val="single"/>
        </w:rPr>
        <w:t>Inquisitoriedad (oficiosidad):</w:t>
      </w:r>
      <w:r w:rsidRPr="00FD1D74">
        <w:rPr>
          <w:rFonts w:ascii="Comic Sans MS" w:hAnsi="Comic Sans MS"/>
          <w:sz w:val="20"/>
          <w:szCs w:val="20"/>
        </w:rPr>
        <w:t xml:space="preserve"> a diferencia</w:t>
      </w:r>
      <w:r w:rsidR="00FD1D74">
        <w:rPr>
          <w:rFonts w:ascii="Comic Sans MS" w:hAnsi="Comic Sans MS"/>
          <w:sz w:val="20"/>
          <w:szCs w:val="20"/>
        </w:rPr>
        <w:t xml:space="preserve"> de los procesos dispositivos, en los procesos concursales es el juez quien tiene dicha carga, por lo cual se le otorgan amplias facultades e incluso tiene el deber de actuar de oficio.</w:t>
      </w:r>
    </w:p>
    <w:p w:rsidR="003819F3" w:rsidRDefault="00FD1D74" w:rsidP="00FD1D74">
      <w:pPr>
        <w:ind w:left="360"/>
        <w:jc w:val="both"/>
        <w:rPr>
          <w:rFonts w:ascii="Comic Sans MS" w:hAnsi="Comic Sans MS"/>
          <w:sz w:val="20"/>
          <w:szCs w:val="20"/>
        </w:rPr>
      </w:pPr>
      <w:r w:rsidRPr="000353B5">
        <w:rPr>
          <w:rFonts w:ascii="Comic Sans MS" w:hAnsi="Comic Sans MS"/>
          <w:color w:val="0070C0"/>
          <w:sz w:val="20"/>
          <w:szCs w:val="20"/>
        </w:rPr>
        <w:t>•</w:t>
      </w:r>
      <w:r>
        <w:rPr>
          <w:rFonts w:ascii="Comic Sans MS" w:hAnsi="Comic Sans MS"/>
          <w:sz w:val="20"/>
          <w:szCs w:val="20"/>
        </w:rPr>
        <w:t xml:space="preserve"> </w:t>
      </w:r>
      <w:r w:rsidRPr="000353B5">
        <w:rPr>
          <w:rFonts w:ascii="Comic Sans MS" w:hAnsi="Comic Sans MS"/>
          <w:color w:val="0070C0"/>
          <w:sz w:val="20"/>
          <w:szCs w:val="20"/>
          <w:u w:val="single"/>
        </w:rPr>
        <w:t>Unicidad:</w:t>
      </w:r>
      <w:r>
        <w:rPr>
          <w:rFonts w:ascii="Comic Sans MS" w:hAnsi="Comic Sans MS"/>
          <w:sz w:val="20"/>
          <w:szCs w:val="20"/>
        </w:rPr>
        <w:t xml:space="preserve"> significa que no pueden existir dos procesos concursales relativos al patrimonio de una misma persona dentro del territorio argentino. </w:t>
      </w:r>
    </w:p>
    <w:p w:rsidR="000353B5" w:rsidRDefault="000353B5" w:rsidP="00FD1D74">
      <w:pPr>
        <w:ind w:left="360"/>
        <w:jc w:val="both"/>
        <w:rPr>
          <w:rFonts w:ascii="Comic Sans MS" w:hAnsi="Comic Sans MS"/>
        </w:rPr>
      </w:pPr>
    </w:p>
    <w:p w:rsidR="000353B5" w:rsidRDefault="000353B5" w:rsidP="00FD1D74">
      <w:pPr>
        <w:ind w:left="360"/>
        <w:jc w:val="both"/>
        <w:rPr>
          <w:rFonts w:ascii="Comic Sans MS" w:hAnsi="Comic Sans MS"/>
        </w:rPr>
      </w:pPr>
      <w:r w:rsidRPr="000353B5">
        <w:rPr>
          <w:rFonts w:ascii="Comic Sans MS" w:hAnsi="Comic Sans MS"/>
          <w:color w:val="FF0000"/>
          <w:sz w:val="24"/>
          <w:szCs w:val="24"/>
          <w:u w:val="single"/>
        </w:rPr>
        <w:t>Presupuestos de los concursos:</w:t>
      </w:r>
      <w:r>
        <w:rPr>
          <w:rFonts w:ascii="Comic Sans MS" w:hAnsi="Comic Sans MS"/>
        </w:rPr>
        <w:t xml:space="preserve"> </w:t>
      </w:r>
    </w:p>
    <w:p w:rsidR="000353B5" w:rsidRDefault="000353B5" w:rsidP="000353B5">
      <w:pPr>
        <w:pStyle w:val="Prrafodelista"/>
        <w:numPr>
          <w:ilvl w:val="0"/>
          <w:numId w:val="3"/>
        </w:numPr>
        <w:jc w:val="both"/>
        <w:rPr>
          <w:rFonts w:ascii="Comic Sans MS" w:hAnsi="Comic Sans MS"/>
          <w:sz w:val="20"/>
          <w:szCs w:val="20"/>
        </w:rPr>
      </w:pPr>
      <w:r w:rsidRPr="006278FE">
        <w:rPr>
          <w:rFonts w:ascii="Comic Sans MS" w:hAnsi="Comic Sans MS"/>
          <w:color w:val="0070C0"/>
          <w:sz w:val="20"/>
          <w:szCs w:val="20"/>
          <w:u w:val="single"/>
        </w:rPr>
        <w:t>El presupuesto objetivo:</w:t>
      </w:r>
      <w:r w:rsidRPr="000353B5">
        <w:rPr>
          <w:rFonts w:ascii="Comic Sans MS" w:hAnsi="Comic Sans MS"/>
          <w:sz w:val="20"/>
          <w:szCs w:val="20"/>
        </w:rPr>
        <w:t xml:space="preserve"> para iniciar un procedimiento concursal es indispensable que el deudor se encuentre en “Estado de Cesación de Pago”</w:t>
      </w:r>
      <w:r>
        <w:rPr>
          <w:rFonts w:ascii="Comic Sans MS" w:hAnsi="Comic Sans MS"/>
          <w:sz w:val="20"/>
          <w:szCs w:val="20"/>
        </w:rPr>
        <w:t>.</w:t>
      </w:r>
    </w:p>
    <w:p w:rsidR="000353B5" w:rsidRPr="006278FE" w:rsidRDefault="000353B5" w:rsidP="000353B5">
      <w:pPr>
        <w:pStyle w:val="Prrafodelista"/>
        <w:jc w:val="both"/>
        <w:rPr>
          <w:rFonts w:ascii="Comic Sans MS" w:hAnsi="Comic Sans MS"/>
          <w:sz w:val="20"/>
          <w:szCs w:val="20"/>
          <w:u w:val="single"/>
        </w:rPr>
      </w:pPr>
      <w:r w:rsidRPr="006278FE">
        <w:rPr>
          <w:rFonts w:ascii="Comic Sans MS" w:hAnsi="Comic Sans MS"/>
          <w:color w:val="FFC000"/>
          <w:sz w:val="20"/>
          <w:szCs w:val="20"/>
          <w:u w:val="single"/>
        </w:rPr>
        <w:t>Teorías (cesación de pago):</w:t>
      </w:r>
    </w:p>
    <w:p w:rsidR="000353B5" w:rsidRDefault="000353B5" w:rsidP="000353B5">
      <w:pPr>
        <w:pStyle w:val="Prrafodelista"/>
        <w:jc w:val="both"/>
        <w:rPr>
          <w:rFonts w:ascii="Comic Sans MS" w:hAnsi="Comic Sans MS"/>
          <w:sz w:val="20"/>
          <w:szCs w:val="20"/>
        </w:rPr>
      </w:pPr>
      <w:r>
        <w:rPr>
          <w:rFonts w:ascii="Comic Sans MS" w:hAnsi="Comic Sans MS"/>
          <w:sz w:val="20"/>
          <w:szCs w:val="20"/>
        </w:rPr>
        <w:t xml:space="preserve">• </w:t>
      </w:r>
      <w:r w:rsidRPr="006278FE">
        <w:rPr>
          <w:rFonts w:ascii="Comic Sans MS" w:hAnsi="Comic Sans MS"/>
          <w:color w:val="0070C0"/>
          <w:sz w:val="20"/>
          <w:szCs w:val="20"/>
          <w:u w:val="single"/>
        </w:rPr>
        <w:t>Teoría materialista:</w:t>
      </w:r>
      <w:r>
        <w:rPr>
          <w:rFonts w:ascii="Comic Sans MS" w:hAnsi="Comic Sans MS"/>
          <w:sz w:val="20"/>
          <w:szCs w:val="20"/>
        </w:rPr>
        <w:t xml:space="preserve"> ante cualquier incumplimiento, el deudor se encuentra en cesación de pago. Es criticada porque un mero incumplimiento daría lugar a la apertura del concurso.</w:t>
      </w:r>
    </w:p>
    <w:p w:rsidR="000353B5" w:rsidRDefault="000353B5" w:rsidP="000353B5">
      <w:pPr>
        <w:pStyle w:val="Prrafodelista"/>
        <w:jc w:val="both"/>
        <w:rPr>
          <w:rFonts w:ascii="Comic Sans MS" w:hAnsi="Comic Sans MS"/>
          <w:sz w:val="20"/>
          <w:szCs w:val="20"/>
        </w:rPr>
      </w:pPr>
      <w:r>
        <w:rPr>
          <w:rFonts w:ascii="Comic Sans MS" w:hAnsi="Comic Sans MS"/>
          <w:sz w:val="20"/>
          <w:szCs w:val="20"/>
        </w:rPr>
        <w:t xml:space="preserve">• </w:t>
      </w:r>
      <w:r w:rsidRPr="006278FE">
        <w:rPr>
          <w:rFonts w:ascii="Comic Sans MS" w:hAnsi="Comic Sans MS"/>
          <w:color w:val="0070C0"/>
          <w:sz w:val="20"/>
          <w:szCs w:val="20"/>
          <w:u w:val="single"/>
        </w:rPr>
        <w:t>Teoría intermedia:</w:t>
      </w:r>
      <w:r w:rsidRPr="006278FE">
        <w:rPr>
          <w:rFonts w:ascii="Comic Sans MS" w:hAnsi="Comic Sans MS"/>
          <w:color w:val="0070C0"/>
          <w:sz w:val="20"/>
          <w:szCs w:val="20"/>
        </w:rPr>
        <w:t xml:space="preserve"> </w:t>
      </w:r>
      <w:r>
        <w:rPr>
          <w:rFonts w:ascii="Comic Sans MS" w:hAnsi="Comic Sans MS"/>
          <w:sz w:val="20"/>
          <w:szCs w:val="20"/>
        </w:rPr>
        <w:t>la cesación de pago no es un hecho, sino un estado de patrimonio. Pero entiende que para abrir un concurso es necesario probar la existencia de un incumplimiento. Es criticada porque no admite la existencia de cesación de pago sin incumplimiento.</w:t>
      </w:r>
    </w:p>
    <w:p w:rsidR="00E903BA" w:rsidRDefault="000353B5" w:rsidP="000353B5">
      <w:pPr>
        <w:pStyle w:val="Prrafodelista"/>
        <w:jc w:val="both"/>
        <w:rPr>
          <w:rFonts w:ascii="Comic Sans MS" w:hAnsi="Comic Sans MS"/>
          <w:sz w:val="20"/>
          <w:szCs w:val="20"/>
        </w:rPr>
      </w:pPr>
      <w:r>
        <w:rPr>
          <w:rFonts w:ascii="Comic Sans MS" w:hAnsi="Comic Sans MS"/>
          <w:sz w:val="20"/>
          <w:szCs w:val="20"/>
        </w:rPr>
        <w:t xml:space="preserve">• </w:t>
      </w:r>
      <w:r w:rsidR="00E903BA" w:rsidRPr="006278FE">
        <w:rPr>
          <w:rFonts w:ascii="Comic Sans MS" w:hAnsi="Comic Sans MS"/>
          <w:color w:val="0070C0"/>
          <w:sz w:val="20"/>
          <w:szCs w:val="20"/>
          <w:u w:val="single"/>
        </w:rPr>
        <w:t>Teoría</w:t>
      </w:r>
      <w:r w:rsidRPr="006278FE">
        <w:rPr>
          <w:rFonts w:ascii="Comic Sans MS" w:hAnsi="Comic Sans MS"/>
          <w:color w:val="0070C0"/>
          <w:sz w:val="20"/>
          <w:szCs w:val="20"/>
          <w:u w:val="single"/>
        </w:rPr>
        <w:t xml:space="preserve"> amplia:</w:t>
      </w:r>
      <w:r w:rsidRPr="006278FE">
        <w:rPr>
          <w:rFonts w:ascii="Comic Sans MS" w:hAnsi="Comic Sans MS"/>
          <w:color w:val="0070C0"/>
          <w:sz w:val="20"/>
          <w:szCs w:val="20"/>
        </w:rPr>
        <w:t xml:space="preserve"> </w:t>
      </w:r>
      <w:r>
        <w:rPr>
          <w:rFonts w:ascii="Comic Sans MS" w:hAnsi="Comic Sans MS"/>
          <w:sz w:val="20"/>
          <w:szCs w:val="20"/>
        </w:rPr>
        <w:t xml:space="preserve">admite la existencia del estado de cesación de pagos sin incumplimientos. Solo exige que se pruebe </w:t>
      </w:r>
      <w:r w:rsidR="00E903BA">
        <w:rPr>
          <w:rFonts w:ascii="Comic Sans MS" w:hAnsi="Comic Sans MS"/>
          <w:sz w:val="20"/>
          <w:szCs w:val="20"/>
        </w:rPr>
        <w:t>la existencia de algún “hecho revelador”.</w:t>
      </w:r>
    </w:p>
    <w:p w:rsidR="00E903BA" w:rsidRDefault="00E903BA" w:rsidP="00E903BA">
      <w:pPr>
        <w:pStyle w:val="Prrafodelista"/>
        <w:jc w:val="both"/>
        <w:rPr>
          <w:rFonts w:ascii="Comic Sans MS" w:hAnsi="Comic Sans MS"/>
          <w:sz w:val="20"/>
          <w:szCs w:val="20"/>
        </w:rPr>
      </w:pPr>
    </w:p>
    <w:p w:rsidR="000353B5" w:rsidRPr="006278FE" w:rsidRDefault="00E903BA" w:rsidP="00E903BA">
      <w:pPr>
        <w:pStyle w:val="Prrafodelista"/>
        <w:jc w:val="both"/>
        <w:rPr>
          <w:rFonts w:ascii="Comic Sans MS" w:hAnsi="Comic Sans MS"/>
          <w:sz w:val="20"/>
          <w:szCs w:val="20"/>
          <w:u w:val="single"/>
        </w:rPr>
      </w:pPr>
      <w:r w:rsidRPr="006278FE">
        <w:rPr>
          <w:rFonts w:ascii="Comic Sans MS" w:hAnsi="Comic Sans MS"/>
          <w:color w:val="7030A0"/>
          <w:sz w:val="20"/>
          <w:szCs w:val="20"/>
          <w:u w:val="single"/>
        </w:rPr>
        <w:t xml:space="preserve">Cesación de pago: </w:t>
      </w:r>
    </w:p>
    <w:p w:rsidR="00E903BA" w:rsidRDefault="00E903BA" w:rsidP="00E903BA">
      <w:pPr>
        <w:pStyle w:val="Prrafodelista"/>
        <w:jc w:val="both"/>
        <w:rPr>
          <w:rFonts w:ascii="Comic Sans MS" w:hAnsi="Comic Sans MS"/>
          <w:sz w:val="20"/>
          <w:szCs w:val="20"/>
        </w:rPr>
      </w:pPr>
      <w:r>
        <w:rPr>
          <w:rFonts w:ascii="Comic Sans MS" w:hAnsi="Comic Sans MS"/>
          <w:sz w:val="20"/>
          <w:szCs w:val="20"/>
        </w:rPr>
        <w:t>Es el estado de impotencia de un patrimonio para hacer frente en forma regular a las obligaciones que lo gravan.</w:t>
      </w:r>
    </w:p>
    <w:p w:rsidR="00E903BA" w:rsidRPr="006278FE" w:rsidRDefault="00E903BA" w:rsidP="00E903BA">
      <w:pPr>
        <w:pStyle w:val="Prrafodelista"/>
        <w:jc w:val="both"/>
        <w:rPr>
          <w:rFonts w:ascii="Comic Sans MS" w:hAnsi="Comic Sans MS"/>
          <w:color w:val="FFC000"/>
          <w:sz w:val="20"/>
          <w:szCs w:val="20"/>
          <w:u w:val="single"/>
        </w:rPr>
      </w:pPr>
      <w:r w:rsidRPr="006278FE">
        <w:rPr>
          <w:rFonts w:ascii="Comic Sans MS" w:hAnsi="Comic Sans MS"/>
          <w:color w:val="FFC000"/>
          <w:sz w:val="20"/>
          <w:szCs w:val="20"/>
          <w:u w:val="single"/>
        </w:rPr>
        <w:t>Caracteres:</w:t>
      </w:r>
    </w:p>
    <w:p w:rsidR="00E903BA" w:rsidRDefault="00E903BA" w:rsidP="00E903BA">
      <w:pPr>
        <w:pStyle w:val="Prrafodelista"/>
        <w:jc w:val="both"/>
        <w:rPr>
          <w:rFonts w:ascii="Comic Sans MS" w:hAnsi="Comic Sans MS"/>
          <w:sz w:val="20"/>
          <w:szCs w:val="20"/>
        </w:rPr>
      </w:pPr>
      <w:r>
        <w:rPr>
          <w:rFonts w:ascii="Comic Sans MS" w:hAnsi="Comic Sans MS"/>
          <w:sz w:val="20"/>
          <w:szCs w:val="20"/>
        </w:rPr>
        <w:t xml:space="preserve">• </w:t>
      </w:r>
      <w:r w:rsidRPr="006278FE">
        <w:rPr>
          <w:rFonts w:ascii="Comic Sans MS" w:hAnsi="Comic Sans MS"/>
          <w:color w:val="0070C0"/>
          <w:sz w:val="20"/>
          <w:szCs w:val="20"/>
          <w:u w:val="single"/>
        </w:rPr>
        <w:t>Generalizado:</w:t>
      </w:r>
      <w:r>
        <w:rPr>
          <w:rFonts w:ascii="Comic Sans MS" w:hAnsi="Comic Sans MS"/>
          <w:sz w:val="20"/>
          <w:szCs w:val="20"/>
        </w:rPr>
        <w:t xml:space="preserve"> debe afectar a todo el patrimonio y no a una obligación aislada. </w:t>
      </w:r>
    </w:p>
    <w:p w:rsidR="00E903BA" w:rsidRDefault="00E903BA" w:rsidP="00E903BA">
      <w:pPr>
        <w:pStyle w:val="Prrafodelista"/>
        <w:jc w:val="both"/>
        <w:rPr>
          <w:rFonts w:ascii="Comic Sans MS" w:hAnsi="Comic Sans MS"/>
          <w:sz w:val="20"/>
          <w:szCs w:val="20"/>
        </w:rPr>
      </w:pPr>
      <w:r>
        <w:rPr>
          <w:rFonts w:ascii="Comic Sans MS" w:hAnsi="Comic Sans MS"/>
          <w:sz w:val="20"/>
          <w:szCs w:val="20"/>
        </w:rPr>
        <w:t xml:space="preserve">• </w:t>
      </w:r>
      <w:r w:rsidRPr="006278FE">
        <w:rPr>
          <w:rFonts w:ascii="Comic Sans MS" w:hAnsi="Comic Sans MS"/>
          <w:color w:val="0070C0"/>
          <w:sz w:val="20"/>
          <w:szCs w:val="20"/>
          <w:u w:val="single"/>
        </w:rPr>
        <w:t>Permanente:</w:t>
      </w:r>
      <w:r>
        <w:rPr>
          <w:rFonts w:ascii="Comic Sans MS" w:hAnsi="Comic Sans MS"/>
          <w:sz w:val="20"/>
          <w:szCs w:val="20"/>
        </w:rPr>
        <w:t xml:space="preserve"> debe proyectarse en el tiempo y no ser un  inconveniente.</w:t>
      </w:r>
    </w:p>
    <w:p w:rsidR="00E903BA" w:rsidRDefault="00693DCE" w:rsidP="00E903BA">
      <w:pPr>
        <w:pStyle w:val="Prrafodelista"/>
        <w:jc w:val="both"/>
        <w:rPr>
          <w:rFonts w:ascii="Comic Sans MS" w:hAnsi="Comic Sans MS"/>
          <w:sz w:val="20"/>
          <w:szCs w:val="20"/>
        </w:rPr>
      </w:pPr>
      <w:r w:rsidRPr="006278FE">
        <w:rPr>
          <w:rFonts w:ascii="Comic Sans MS" w:hAnsi="Comic Sans MS"/>
          <w:color w:val="FFC000"/>
          <w:sz w:val="20"/>
          <w:szCs w:val="20"/>
          <w:u w:val="single"/>
        </w:rPr>
        <w:t>Otras situaciones:</w:t>
      </w:r>
      <w:r w:rsidRPr="006278FE">
        <w:rPr>
          <w:rFonts w:ascii="Comic Sans MS" w:hAnsi="Comic Sans MS"/>
          <w:color w:val="FFC000"/>
          <w:sz w:val="20"/>
          <w:szCs w:val="20"/>
        </w:rPr>
        <w:t xml:space="preserve"> </w:t>
      </w:r>
      <w:r>
        <w:rPr>
          <w:rFonts w:ascii="Comic Sans MS" w:hAnsi="Comic Sans MS"/>
          <w:sz w:val="20"/>
          <w:szCs w:val="20"/>
        </w:rPr>
        <w:t xml:space="preserve">no dan lugar a la apertura de un procedimiento concursal: </w:t>
      </w:r>
      <w:r>
        <w:rPr>
          <w:rFonts w:ascii="Comic Sans MS" w:hAnsi="Comic Sans MS"/>
          <w:sz w:val="20"/>
          <w:szCs w:val="20"/>
        </w:rPr>
        <w:br/>
        <w:t xml:space="preserve">• </w:t>
      </w:r>
      <w:r w:rsidRPr="006278FE">
        <w:rPr>
          <w:rFonts w:ascii="Comic Sans MS" w:hAnsi="Comic Sans MS"/>
          <w:color w:val="0070C0"/>
          <w:sz w:val="20"/>
          <w:szCs w:val="20"/>
          <w:u w:val="single"/>
        </w:rPr>
        <w:t>Un simple incumplimiento:</w:t>
      </w:r>
      <w:r w:rsidRPr="006278FE">
        <w:rPr>
          <w:rFonts w:ascii="Comic Sans MS" w:hAnsi="Comic Sans MS"/>
          <w:color w:val="0070C0"/>
          <w:sz w:val="20"/>
          <w:szCs w:val="20"/>
        </w:rPr>
        <w:t xml:space="preserve"> </w:t>
      </w:r>
      <w:r>
        <w:rPr>
          <w:rFonts w:ascii="Comic Sans MS" w:hAnsi="Comic Sans MS"/>
          <w:sz w:val="20"/>
          <w:szCs w:val="20"/>
        </w:rPr>
        <w:t>puede haber un simple incumplimiento sin que haya estado de cesación de pagos y puede haber cesación de pagos sin incumplimientos. Mientras el incumplimiento es un hecho, la cesación de pago es un estado.</w:t>
      </w:r>
    </w:p>
    <w:p w:rsidR="00693DCE" w:rsidRDefault="00693DCE" w:rsidP="00E903BA">
      <w:pPr>
        <w:pStyle w:val="Prrafodelista"/>
        <w:jc w:val="both"/>
        <w:rPr>
          <w:rFonts w:ascii="Comic Sans MS" w:hAnsi="Comic Sans MS"/>
          <w:sz w:val="20"/>
          <w:szCs w:val="20"/>
        </w:rPr>
      </w:pPr>
      <w:r>
        <w:rPr>
          <w:rFonts w:ascii="Comic Sans MS" w:hAnsi="Comic Sans MS"/>
          <w:sz w:val="20"/>
          <w:szCs w:val="20"/>
        </w:rPr>
        <w:t xml:space="preserve">• </w:t>
      </w:r>
      <w:r w:rsidRPr="006278FE">
        <w:rPr>
          <w:rFonts w:ascii="Comic Sans MS" w:hAnsi="Comic Sans MS"/>
          <w:color w:val="0070C0"/>
          <w:sz w:val="20"/>
          <w:szCs w:val="20"/>
          <w:u w:val="single"/>
        </w:rPr>
        <w:t>Pasivo superior al activo:</w:t>
      </w:r>
      <w:r w:rsidRPr="006278FE">
        <w:rPr>
          <w:rFonts w:ascii="Comic Sans MS" w:hAnsi="Comic Sans MS"/>
          <w:color w:val="0070C0"/>
          <w:sz w:val="20"/>
          <w:szCs w:val="20"/>
        </w:rPr>
        <w:t xml:space="preserve"> </w:t>
      </w:r>
      <w:r>
        <w:rPr>
          <w:rFonts w:ascii="Comic Sans MS" w:hAnsi="Comic Sans MS"/>
          <w:sz w:val="20"/>
          <w:szCs w:val="20"/>
        </w:rPr>
        <w:t>puede ocurri</w:t>
      </w:r>
      <w:r w:rsidR="006278FE">
        <w:rPr>
          <w:rFonts w:ascii="Comic Sans MS" w:hAnsi="Comic Sans MS"/>
          <w:sz w:val="20"/>
          <w:szCs w:val="20"/>
        </w:rPr>
        <w:t>r</w:t>
      </w:r>
      <w:r>
        <w:rPr>
          <w:rFonts w:ascii="Comic Sans MS" w:hAnsi="Comic Sans MS"/>
          <w:sz w:val="20"/>
          <w:szCs w:val="20"/>
        </w:rPr>
        <w:t xml:space="preserve"> que el pasivo sea superior </w:t>
      </w:r>
      <w:r w:rsidR="006278FE">
        <w:rPr>
          <w:rFonts w:ascii="Comic Sans MS" w:hAnsi="Comic Sans MS"/>
          <w:sz w:val="20"/>
          <w:szCs w:val="20"/>
        </w:rPr>
        <w:t xml:space="preserve">al activo sin que haya cesación de pago y viceversa, puede ocurrir que el activo sea superior al pasivo y el deudo este en cesación de pagos. </w:t>
      </w:r>
    </w:p>
    <w:p w:rsidR="006278FE" w:rsidRDefault="006278FE" w:rsidP="00E903BA">
      <w:pPr>
        <w:pStyle w:val="Prrafodelista"/>
        <w:jc w:val="both"/>
        <w:rPr>
          <w:rFonts w:ascii="Comic Sans MS" w:hAnsi="Comic Sans MS"/>
          <w:sz w:val="20"/>
          <w:szCs w:val="20"/>
        </w:rPr>
      </w:pPr>
    </w:p>
    <w:p w:rsidR="006278FE" w:rsidRPr="008831FA" w:rsidRDefault="00A66737" w:rsidP="00E903BA">
      <w:pPr>
        <w:pStyle w:val="Prrafodelista"/>
        <w:jc w:val="both"/>
        <w:rPr>
          <w:rFonts w:ascii="Comic Sans MS" w:hAnsi="Comic Sans MS"/>
          <w:color w:val="7030A0"/>
          <w:sz w:val="20"/>
          <w:szCs w:val="20"/>
          <w:u w:val="single"/>
        </w:rPr>
      </w:pPr>
      <w:r w:rsidRPr="008831FA">
        <w:rPr>
          <w:rFonts w:ascii="Comic Sans MS" w:hAnsi="Comic Sans MS"/>
          <w:color w:val="7030A0"/>
          <w:sz w:val="20"/>
          <w:szCs w:val="20"/>
          <w:u w:val="single"/>
        </w:rPr>
        <w:t>Hechos Reveladores: (art. 79)</w:t>
      </w:r>
    </w:p>
    <w:p w:rsidR="00A66737" w:rsidRDefault="00A66737" w:rsidP="00A66737">
      <w:pPr>
        <w:pStyle w:val="Prrafodelista"/>
        <w:numPr>
          <w:ilvl w:val="0"/>
          <w:numId w:val="4"/>
        </w:numPr>
        <w:jc w:val="both"/>
        <w:rPr>
          <w:rFonts w:ascii="Comic Sans MS" w:hAnsi="Comic Sans MS"/>
          <w:sz w:val="20"/>
          <w:szCs w:val="20"/>
        </w:rPr>
      </w:pPr>
      <w:r>
        <w:rPr>
          <w:rFonts w:ascii="Comic Sans MS" w:hAnsi="Comic Sans MS"/>
          <w:sz w:val="20"/>
          <w:szCs w:val="20"/>
        </w:rPr>
        <w:t>Reconocimiento judicial o extrajudicial del mismo efectuado por el deudor.</w:t>
      </w:r>
    </w:p>
    <w:p w:rsidR="00A66737" w:rsidRDefault="00A66737" w:rsidP="00A66737">
      <w:pPr>
        <w:pStyle w:val="Prrafodelista"/>
        <w:numPr>
          <w:ilvl w:val="0"/>
          <w:numId w:val="4"/>
        </w:numPr>
        <w:jc w:val="both"/>
        <w:rPr>
          <w:rFonts w:ascii="Comic Sans MS" w:hAnsi="Comic Sans MS"/>
          <w:sz w:val="20"/>
          <w:szCs w:val="20"/>
        </w:rPr>
      </w:pPr>
      <w:r>
        <w:rPr>
          <w:rFonts w:ascii="Comic Sans MS" w:hAnsi="Comic Sans MS"/>
          <w:sz w:val="20"/>
          <w:szCs w:val="20"/>
        </w:rPr>
        <w:t>Mora en el cumplimiento de una obligación.</w:t>
      </w:r>
    </w:p>
    <w:p w:rsidR="00A66737" w:rsidRDefault="00A66737" w:rsidP="00A66737">
      <w:pPr>
        <w:pStyle w:val="Prrafodelista"/>
        <w:numPr>
          <w:ilvl w:val="0"/>
          <w:numId w:val="4"/>
        </w:numPr>
        <w:jc w:val="both"/>
        <w:rPr>
          <w:rFonts w:ascii="Comic Sans MS" w:hAnsi="Comic Sans MS"/>
          <w:sz w:val="20"/>
          <w:szCs w:val="20"/>
        </w:rPr>
      </w:pPr>
      <w:r>
        <w:rPr>
          <w:rFonts w:ascii="Comic Sans MS" w:hAnsi="Comic Sans MS"/>
          <w:sz w:val="20"/>
          <w:szCs w:val="20"/>
        </w:rPr>
        <w:t>Ocultación o ausencia del deudor o de los administradores de la sociedad, sin dejar representante con facultades y medios suficientes para cumplir  sus obligaciones.</w:t>
      </w:r>
    </w:p>
    <w:p w:rsidR="00A66737" w:rsidRDefault="00A66737" w:rsidP="00A66737">
      <w:pPr>
        <w:pStyle w:val="Prrafodelista"/>
        <w:numPr>
          <w:ilvl w:val="0"/>
          <w:numId w:val="4"/>
        </w:numPr>
        <w:jc w:val="both"/>
        <w:rPr>
          <w:rFonts w:ascii="Comic Sans MS" w:hAnsi="Comic Sans MS"/>
          <w:sz w:val="20"/>
          <w:szCs w:val="20"/>
        </w:rPr>
      </w:pPr>
      <w:r>
        <w:rPr>
          <w:rFonts w:ascii="Comic Sans MS" w:hAnsi="Comic Sans MS"/>
          <w:sz w:val="20"/>
          <w:szCs w:val="20"/>
        </w:rPr>
        <w:t xml:space="preserve">Clausura de la sede de la administración o del establecimiento donde el deudor realice su actividad. </w:t>
      </w:r>
    </w:p>
    <w:p w:rsidR="00A66737" w:rsidRDefault="00A66737" w:rsidP="00A66737">
      <w:pPr>
        <w:pStyle w:val="Prrafodelista"/>
        <w:numPr>
          <w:ilvl w:val="0"/>
          <w:numId w:val="4"/>
        </w:numPr>
        <w:jc w:val="both"/>
        <w:rPr>
          <w:rFonts w:ascii="Comic Sans MS" w:hAnsi="Comic Sans MS"/>
          <w:sz w:val="20"/>
          <w:szCs w:val="20"/>
        </w:rPr>
      </w:pPr>
      <w:r>
        <w:rPr>
          <w:rFonts w:ascii="Comic Sans MS" w:hAnsi="Comic Sans MS"/>
          <w:sz w:val="20"/>
          <w:szCs w:val="20"/>
        </w:rPr>
        <w:t>Venta a precio vil, ocultación o entrega de bienes en pago.</w:t>
      </w:r>
    </w:p>
    <w:p w:rsidR="00A66737" w:rsidRDefault="00A66737" w:rsidP="00A66737">
      <w:pPr>
        <w:pStyle w:val="Prrafodelista"/>
        <w:numPr>
          <w:ilvl w:val="0"/>
          <w:numId w:val="4"/>
        </w:numPr>
        <w:jc w:val="both"/>
        <w:rPr>
          <w:rFonts w:ascii="Comic Sans MS" w:hAnsi="Comic Sans MS"/>
          <w:sz w:val="20"/>
          <w:szCs w:val="20"/>
        </w:rPr>
      </w:pPr>
      <w:r>
        <w:rPr>
          <w:rFonts w:ascii="Comic Sans MS" w:hAnsi="Comic Sans MS"/>
          <w:sz w:val="20"/>
          <w:szCs w:val="20"/>
        </w:rPr>
        <w:t>Revocación judicial de actos realizados en fraude a los acreedores.</w:t>
      </w:r>
    </w:p>
    <w:p w:rsidR="00A66737" w:rsidRDefault="00A66737" w:rsidP="00A66737">
      <w:pPr>
        <w:pStyle w:val="Prrafodelista"/>
        <w:numPr>
          <w:ilvl w:val="0"/>
          <w:numId w:val="4"/>
        </w:numPr>
        <w:jc w:val="both"/>
        <w:rPr>
          <w:rFonts w:ascii="Comic Sans MS" w:hAnsi="Comic Sans MS"/>
          <w:sz w:val="20"/>
          <w:szCs w:val="20"/>
        </w:rPr>
      </w:pPr>
      <w:r>
        <w:rPr>
          <w:rFonts w:ascii="Comic Sans MS" w:hAnsi="Comic Sans MS"/>
          <w:sz w:val="20"/>
          <w:szCs w:val="20"/>
        </w:rPr>
        <w:lastRenderedPageBreak/>
        <w:t>Cualquier medio fraudulento em</w:t>
      </w:r>
      <w:r w:rsidR="00FE6069">
        <w:rPr>
          <w:rFonts w:ascii="Comic Sans MS" w:hAnsi="Comic Sans MS"/>
          <w:sz w:val="20"/>
          <w:szCs w:val="20"/>
        </w:rPr>
        <w:t>pleado para obtener recursos.</w:t>
      </w:r>
      <w:r>
        <w:rPr>
          <w:rFonts w:ascii="Comic Sans MS" w:hAnsi="Comic Sans MS"/>
          <w:sz w:val="20"/>
          <w:szCs w:val="20"/>
        </w:rPr>
        <w:t xml:space="preserve"> </w:t>
      </w:r>
    </w:p>
    <w:p w:rsidR="008831FA" w:rsidRDefault="008831FA" w:rsidP="008831FA">
      <w:pPr>
        <w:jc w:val="both"/>
        <w:rPr>
          <w:rFonts w:ascii="Comic Sans MS" w:hAnsi="Comic Sans MS"/>
          <w:sz w:val="20"/>
          <w:szCs w:val="20"/>
        </w:rPr>
      </w:pPr>
    </w:p>
    <w:p w:rsidR="008831FA" w:rsidRDefault="008831FA" w:rsidP="008831FA">
      <w:pPr>
        <w:pStyle w:val="Prrafodelista"/>
        <w:numPr>
          <w:ilvl w:val="0"/>
          <w:numId w:val="3"/>
        </w:numPr>
        <w:jc w:val="both"/>
        <w:rPr>
          <w:rFonts w:ascii="Comic Sans MS" w:hAnsi="Comic Sans MS"/>
          <w:sz w:val="20"/>
          <w:szCs w:val="20"/>
        </w:rPr>
      </w:pPr>
      <w:r w:rsidRPr="005E1109">
        <w:rPr>
          <w:rFonts w:ascii="Comic Sans MS" w:hAnsi="Comic Sans MS"/>
          <w:color w:val="0070C0"/>
          <w:sz w:val="20"/>
          <w:szCs w:val="20"/>
          <w:u w:val="single"/>
        </w:rPr>
        <w:t>El presupuesto subjetivo:</w:t>
      </w:r>
      <w:r>
        <w:rPr>
          <w:rFonts w:ascii="Comic Sans MS" w:hAnsi="Comic Sans MS"/>
          <w:sz w:val="20"/>
          <w:szCs w:val="20"/>
        </w:rPr>
        <w:t xml:space="preserve"> quien puede ser declarado en concurso.</w:t>
      </w:r>
    </w:p>
    <w:p w:rsidR="008831FA" w:rsidRDefault="008831FA" w:rsidP="008831FA">
      <w:pPr>
        <w:pStyle w:val="Prrafodelista"/>
        <w:jc w:val="both"/>
        <w:rPr>
          <w:rFonts w:ascii="Comic Sans MS" w:hAnsi="Comic Sans MS"/>
          <w:sz w:val="20"/>
          <w:szCs w:val="20"/>
        </w:rPr>
      </w:pPr>
      <w:r>
        <w:rPr>
          <w:rFonts w:ascii="Comic Sans MS" w:hAnsi="Comic Sans MS"/>
          <w:sz w:val="20"/>
          <w:szCs w:val="20"/>
        </w:rPr>
        <w:t>• Las personas físicas (sean o no comerciantes).</w:t>
      </w:r>
    </w:p>
    <w:p w:rsidR="008831FA" w:rsidRDefault="008831FA" w:rsidP="008831FA">
      <w:pPr>
        <w:pStyle w:val="Prrafodelista"/>
        <w:jc w:val="both"/>
        <w:rPr>
          <w:rFonts w:ascii="Comic Sans MS" w:hAnsi="Comic Sans MS"/>
          <w:sz w:val="20"/>
          <w:szCs w:val="20"/>
        </w:rPr>
      </w:pPr>
      <w:r>
        <w:rPr>
          <w:rFonts w:ascii="Comic Sans MS" w:hAnsi="Comic Sans MS"/>
          <w:sz w:val="20"/>
          <w:szCs w:val="20"/>
        </w:rPr>
        <w:t>• Las personas jurídicas de carácter privado  (S. reg.; S.A, en comandita simple; las de hecho).</w:t>
      </w:r>
    </w:p>
    <w:p w:rsidR="008831FA" w:rsidRDefault="008831FA" w:rsidP="008831FA">
      <w:pPr>
        <w:pStyle w:val="Prrafodelista"/>
        <w:jc w:val="both"/>
        <w:rPr>
          <w:rFonts w:ascii="Comic Sans MS" w:hAnsi="Comic Sans MS"/>
          <w:sz w:val="20"/>
          <w:szCs w:val="20"/>
        </w:rPr>
      </w:pPr>
      <w:r>
        <w:rPr>
          <w:rFonts w:ascii="Comic Sans MS" w:hAnsi="Comic Sans MS"/>
          <w:sz w:val="20"/>
          <w:szCs w:val="20"/>
        </w:rPr>
        <w:t xml:space="preserve">• Las sociedades en las que el Estado nacional, provincial o municipal sean parte. </w:t>
      </w:r>
    </w:p>
    <w:p w:rsidR="008831FA" w:rsidRDefault="008831FA" w:rsidP="008831FA">
      <w:pPr>
        <w:pStyle w:val="Prrafodelista"/>
        <w:jc w:val="both"/>
        <w:rPr>
          <w:rFonts w:ascii="Comic Sans MS" w:hAnsi="Comic Sans MS"/>
          <w:sz w:val="20"/>
          <w:szCs w:val="20"/>
        </w:rPr>
      </w:pPr>
      <w:r w:rsidRPr="005E1109">
        <w:rPr>
          <w:rFonts w:ascii="Comic Sans MS" w:hAnsi="Comic Sans MS"/>
          <w:color w:val="FFC000"/>
          <w:sz w:val="20"/>
          <w:szCs w:val="20"/>
          <w:u w:val="single"/>
        </w:rPr>
        <w:t>Quedan comprendidos:</w:t>
      </w:r>
      <w:r>
        <w:rPr>
          <w:rFonts w:ascii="Comic Sans MS" w:hAnsi="Comic Sans MS"/>
          <w:sz w:val="20"/>
          <w:szCs w:val="20"/>
        </w:rPr>
        <w:t xml:space="preserve"> el patrimonio del fallecido y los deudores domiciliados en el extranjero respecto de los bienes existentes en el país. El patrimonio de una persona incapaz. </w:t>
      </w:r>
    </w:p>
    <w:p w:rsidR="008831FA" w:rsidRDefault="008831FA" w:rsidP="008831FA">
      <w:pPr>
        <w:pStyle w:val="Prrafodelista"/>
        <w:jc w:val="both"/>
        <w:rPr>
          <w:rFonts w:ascii="Comic Sans MS" w:hAnsi="Comic Sans MS"/>
          <w:sz w:val="20"/>
          <w:szCs w:val="20"/>
        </w:rPr>
      </w:pPr>
      <w:r w:rsidRPr="005E1109">
        <w:rPr>
          <w:rFonts w:ascii="Comic Sans MS" w:hAnsi="Comic Sans MS"/>
          <w:color w:val="FFC000"/>
          <w:sz w:val="20"/>
          <w:szCs w:val="20"/>
          <w:u w:val="single"/>
        </w:rPr>
        <w:t>No pueden ser declarados en concurso:</w:t>
      </w:r>
      <w:r w:rsidRPr="005E1109">
        <w:rPr>
          <w:rFonts w:ascii="Comic Sans MS" w:hAnsi="Comic Sans MS"/>
          <w:color w:val="FFC000"/>
          <w:sz w:val="20"/>
          <w:szCs w:val="20"/>
        </w:rPr>
        <w:t xml:space="preserve"> </w:t>
      </w:r>
      <w:r>
        <w:rPr>
          <w:rFonts w:ascii="Comic Sans MS" w:hAnsi="Comic Sans MS"/>
          <w:sz w:val="20"/>
          <w:szCs w:val="20"/>
        </w:rPr>
        <w:t>compañías de seguro, AFIP, las entidades financieras, aseguradoras de riesgos de trabajo. Tampoco las personas de existencia ideal de derecho público (Estado, Iglesia católica).</w:t>
      </w:r>
    </w:p>
    <w:p w:rsidR="005E1109" w:rsidRDefault="005E1109" w:rsidP="005E1109">
      <w:pPr>
        <w:jc w:val="both"/>
        <w:rPr>
          <w:rFonts w:ascii="Comic Sans MS" w:hAnsi="Comic Sans MS"/>
          <w:sz w:val="20"/>
          <w:szCs w:val="20"/>
        </w:rPr>
      </w:pPr>
    </w:p>
    <w:p w:rsidR="005E1109" w:rsidRDefault="005E1109" w:rsidP="005E1109">
      <w:pPr>
        <w:ind w:left="360"/>
        <w:jc w:val="both"/>
        <w:rPr>
          <w:rFonts w:ascii="Comic Sans MS" w:hAnsi="Comic Sans MS"/>
          <w:color w:val="FF0000"/>
          <w:sz w:val="24"/>
          <w:szCs w:val="24"/>
          <w:u w:val="single"/>
        </w:rPr>
      </w:pPr>
      <w:r w:rsidRPr="005E1109">
        <w:rPr>
          <w:rFonts w:ascii="Comic Sans MS" w:hAnsi="Comic Sans MS"/>
          <w:color w:val="FF0000"/>
          <w:sz w:val="24"/>
          <w:szCs w:val="24"/>
          <w:u w:val="single"/>
        </w:rPr>
        <w:t>Competencia del juez:</w:t>
      </w:r>
    </w:p>
    <w:p w:rsidR="005E1109" w:rsidRPr="006B422B" w:rsidRDefault="00191591" w:rsidP="005E1109">
      <w:pPr>
        <w:pStyle w:val="Prrafodelista"/>
        <w:numPr>
          <w:ilvl w:val="0"/>
          <w:numId w:val="5"/>
        </w:numPr>
        <w:jc w:val="both"/>
        <w:rPr>
          <w:rFonts w:ascii="Comic Sans MS" w:hAnsi="Comic Sans MS"/>
          <w:sz w:val="20"/>
          <w:szCs w:val="20"/>
          <w:u w:val="single"/>
        </w:rPr>
      </w:pPr>
      <w:r w:rsidRPr="006B422B">
        <w:rPr>
          <w:rFonts w:ascii="Comic Sans MS" w:hAnsi="Comic Sans MS"/>
          <w:color w:val="0070C0"/>
          <w:sz w:val="20"/>
          <w:szCs w:val="20"/>
          <w:u w:val="single"/>
        </w:rPr>
        <w:t>En razón de la materia:</w:t>
      </w:r>
      <w:r w:rsidRPr="006B422B">
        <w:rPr>
          <w:rFonts w:ascii="Comic Sans MS" w:hAnsi="Comic Sans MS"/>
          <w:sz w:val="20"/>
          <w:szCs w:val="20"/>
          <w:u w:val="single"/>
        </w:rPr>
        <w:t xml:space="preserve"> </w:t>
      </w:r>
    </w:p>
    <w:p w:rsidR="00191591" w:rsidRDefault="00191591" w:rsidP="00191591">
      <w:pPr>
        <w:pStyle w:val="Prrafodelista"/>
        <w:jc w:val="both"/>
        <w:rPr>
          <w:rFonts w:ascii="Comic Sans MS" w:hAnsi="Comic Sans MS"/>
          <w:sz w:val="20"/>
          <w:szCs w:val="20"/>
        </w:rPr>
      </w:pPr>
      <w:r>
        <w:rPr>
          <w:rFonts w:ascii="Comic Sans MS" w:hAnsi="Comic Sans MS"/>
          <w:sz w:val="20"/>
          <w:szCs w:val="20"/>
        </w:rPr>
        <w:t xml:space="preserve">• </w:t>
      </w:r>
      <w:r w:rsidRPr="006B422B">
        <w:rPr>
          <w:rFonts w:ascii="Comic Sans MS" w:hAnsi="Comic Sans MS"/>
          <w:color w:val="FFC000"/>
          <w:sz w:val="20"/>
          <w:szCs w:val="20"/>
          <w:u w:val="single"/>
        </w:rPr>
        <w:t>Ciudad de Buenos Aires:</w:t>
      </w:r>
      <w:r>
        <w:rPr>
          <w:rFonts w:ascii="Comic Sans MS" w:hAnsi="Comic Sans MS"/>
          <w:sz w:val="20"/>
          <w:szCs w:val="20"/>
        </w:rPr>
        <w:t xml:space="preserve"> intervienen los jueces con competencia ordinaria en materia comercial. </w:t>
      </w:r>
    </w:p>
    <w:p w:rsidR="00191591" w:rsidRDefault="00191591" w:rsidP="00191591">
      <w:pPr>
        <w:pStyle w:val="Prrafodelista"/>
        <w:jc w:val="both"/>
        <w:rPr>
          <w:rFonts w:ascii="Comic Sans MS" w:hAnsi="Comic Sans MS"/>
          <w:sz w:val="20"/>
          <w:szCs w:val="20"/>
        </w:rPr>
      </w:pPr>
      <w:r>
        <w:rPr>
          <w:rFonts w:ascii="Comic Sans MS" w:hAnsi="Comic Sans MS"/>
          <w:sz w:val="20"/>
          <w:szCs w:val="20"/>
        </w:rPr>
        <w:t xml:space="preserve">• </w:t>
      </w:r>
      <w:r w:rsidRPr="006B422B">
        <w:rPr>
          <w:rFonts w:ascii="Comic Sans MS" w:hAnsi="Comic Sans MS"/>
          <w:color w:val="FFC000"/>
          <w:sz w:val="20"/>
          <w:szCs w:val="20"/>
          <w:u w:val="single"/>
        </w:rPr>
        <w:t>Provincias en general:</w:t>
      </w:r>
      <w:r>
        <w:rPr>
          <w:rFonts w:ascii="Comic Sans MS" w:hAnsi="Comic Sans MS"/>
          <w:sz w:val="20"/>
          <w:szCs w:val="20"/>
        </w:rPr>
        <w:t xml:space="preserve"> intervienen los jueces con competencia ordinaria en materia civil y comercial.</w:t>
      </w:r>
    </w:p>
    <w:p w:rsidR="00191591" w:rsidRDefault="00191591" w:rsidP="00191591">
      <w:pPr>
        <w:pStyle w:val="Prrafodelista"/>
        <w:jc w:val="both"/>
        <w:rPr>
          <w:rFonts w:ascii="Comic Sans MS" w:hAnsi="Comic Sans MS"/>
          <w:sz w:val="20"/>
          <w:szCs w:val="20"/>
        </w:rPr>
      </w:pPr>
      <w:r>
        <w:rPr>
          <w:rFonts w:ascii="Comic Sans MS" w:hAnsi="Comic Sans MS"/>
          <w:sz w:val="20"/>
          <w:szCs w:val="20"/>
        </w:rPr>
        <w:t xml:space="preserve">• </w:t>
      </w:r>
      <w:r w:rsidRPr="006B422B">
        <w:rPr>
          <w:rFonts w:ascii="Comic Sans MS" w:hAnsi="Comic Sans MS"/>
          <w:color w:val="FFC000"/>
          <w:sz w:val="20"/>
          <w:szCs w:val="20"/>
          <w:u w:val="single"/>
        </w:rPr>
        <w:t>Córdoba y Mendoza:</w:t>
      </w:r>
      <w:r w:rsidRPr="006B422B">
        <w:rPr>
          <w:rFonts w:ascii="Comic Sans MS" w:hAnsi="Comic Sans MS"/>
          <w:color w:val="FFC000"/>
          <w:sz w:val="20"/>
          <w:szCs w:val="20"/>
        </w:rPr>
        <w:t xml:space="preserve"> </w:t>
      </w:r>
      <w:r>
        <w:rPr>
          <w:rFonts w:ascii="Comic Sans MS" w:hAnsi="Comic Sans MS"/>
          <w:sz w:val="20"/>
          <w:szCs w:val="20"/>
        </w:rPr>
        <w:t>intervienen los jueces con competencia ordinaria en materia concursal.</w:t>
      </w:r>
    </w:p>
    <w:p w:rsidR="00191591" w:rsidRPr="006B422B" w:rsidRDefault="00191591" w:rsidP="00191591">
      <w:pPr>
        <w:pStyle w:val="Prrafodelista"/>
        <w:numPr>
          <w:ilvl w:val="0"/>
          <w:numId w:val="5"/>
        </w:numPr>
        <w:jc w:val="both"/>
        <w:rPr>
          <w:rFonts w:ascii="Comic Sans MS" w:hAnsi="Comic Sans MS"/>
          <w:color w:val="0070C0"/>
          <w:sz w:val="20"/>
          <w:szCs w:val="20"/>
          <w:u w:val="single"/>
        </w:rPr>
      </w:pPr>
      <w:r w:rsidRPr="006B422B">
        <w:rPr>
          <w:rFonts w:ascii="Comic Sans MS" w:hAnsi="Comic Sans MS"/>
          <w:color w:val="0070C0"/>
          <w:sz w:val="20"/>
          <w:szCs w:val="20"/>
          <w:u w:val="single"/>
        </w:rPr>
        <w:t>En razón del territorio:</w:t>
      </w:r>
    </w:p>
    <w:p w:rsidR="00191591" w:rsidRDefault="00191591" w:rsidP="00191591">
      <w:pPr>
        <w:pStyle w:val="Prrafodelista"/>
        <w:jc w:val="both"/>
        <w:rPr>
          <w:rFonts w:ascii="Comic Sans MS" w:hAnsi="Comic Sans MS"/>
          <w:sz w:val="20"/>
          <w:szCs w:val="20"/>
        </w:rPr>
      </w:pPr>
      <w:r>
        <w:rPr>
          <w:rFonts w:ascii="Comic Sans MS" w:hAnsi="Comic Sans MS"/>
          <w:sz w:val="20"/>
          <w:szCs w:val="20"/>
        </w:rPr>
        <w:t xml:space="preserve">• </w:t>
      </w:r>
      <w:r w:rsidRPr="006B422B">
        <w:rPr>
          <w:rFonts w:ascii="Comic Sans MS" w:hAnsi="Comic Sans MS"/>
          <w:color w:val="FFC000"/>
          <w:sz w:val="20"/>
          <w:szCs w:val="20"/>
          <w:u w:val="single"/>
        </w:rPr>
        <w:t>Personas físicas:</w:t>
      </w:r>
      <w:r w:rsidRPr="006B422B">
        <w:rPr>
          <w:rFonts w:ascii="Comic Sans MS" w:hAnsi="Comic Sans MS"/>
          <w:color w:val="FFC000"/>
          <w:sz w:val="20"/>
          <w:szCs w:val="20"/>
        </w:rPr>
        <w:t xml:space="preserve"> </w:t>
      </w:r>
      <w:r>
        <w:rPr>
          <w:rFonts w:ascii="Comic Sans MS" w:hAnsi="Comic Sans MS"/>
          <w:sz w:val="20"/>
          <w:szCs w:val="20"/>
        </w:rPr>
        <w:t>si la concursada es una persona física, será competente el juez del lugar del domicilio de la persona; o si la persona física desarrolla un negocio será competente el juez del lugar de la sede de la administración del negocio.</w:t>
      </w:r>
    </w:p>
    <w:p w:rsidR="00191591" w:rsidRDefault="00191591" w:rsidP="00191591">
      <w:pPr>
        <w:pStyle w:val="Prrafodelista"/>
        <w:jc w:val="both"/>
        <w:rPr>
          <w:rFonts w:ascii="Comic Sans MS" w:hAnsi="Comic Sans MS"/>
          <w:sz w:val="20"/>
          <w:szCs w:val="20"/>
        </w:rPr>
      </w:pPr>
      <w:r>
        <w:rPr>
          <w:rFonts w:ascii="Comic Sans MS" w:hAnsi="Comic Sans MS"/>
          <w:sz w:val="20"/>
          <w:szCs w:val="20"/>
        </w:rPr>
        <w:t>Si hubiese varias sedes, será competente el juez del lugar de la sede de la administración del establecimiento principal. Si no puede determinarse la sede principal, el juez que hubiere prevenido.</w:t>
      </w:r>
    </w:p>
    <w:p w:rsidR="00624ECA" w:rsidRDefault="00191591" w:rsidP="00191591">
      <w:pPr>
        <w:pStyle w:val="Prrafodelista"/>
        <w:jc w:val="both"/>
        <w:rPr>
          <w:rFonts w:ascii="Comic Sans MS" w:hAnsi="Comic Sans MS"/>
          <w:sz w:val="20"/>
          <w:szCs w:val="20"/>
        </w:rPr>
      </w:pPr>
      <w:r>
        <w:rPr>
          <w:rFonts w:ascii="Comic Sans MS" w:hAnsi="Comic Sans MS"/>
          <w:sz w:val="20"/>
          <w:szCs w:val="20"/>
        </w:rPr>
        <w:t xml:space="preserve">• </w:t>
      </w:r>
      <w:r w:rsidRPr="006B422B">
        <w:rPr>
          <w:rFonts w:ascii="Comic Sans MS" w:hAnsi="Comic Sans MS"/>
          <w:color w:val="FFC000"/>
          <w:sz w:val="20"/>
          <w:szCs w:val="20"/>
          <w:u w:val="single"/>
        </w:rPr>
        <w:t>Personas jurídicas:</w:t>
      </w:r>
      <w:r w:rsidRPr="006B422B">
        <w:rPr>
          <w:rFonts w:ascii="Comic Sans MS" w:hAnsi="Comic Sans MS"/>
          <w:color w:val="FFC000"/>
          <w:sz w:val="20"/>
          <w:szCs w:val="20"/>
        </w:rPr>
        <w:t xml:space="preserve"> </w:t>
      </w:r>
      <w:r>
        <w:rPr>
          <w:rFonts w:ascii="Comic Sans MS" w:hAnsi="Comic Sans MS"/>
          <w:sz w:val="20"/>
          <w:szCs w:val="20"/>
        </w:rPr>
        <w:t xml:space="preserve">si la persona jurídica esta regularmente constituida, será competente el juez del domicilio legal inscripto. Si no está regularmente constituida, el juez del lugar de la sede, y en su defecto el del establecimiento principal. </w:t>
      </w:r>
    </w:p>
    <w:p w:rsidR="00191591" w:rsidRPr="00191591" w:rsidRDefault="00624ECA" w:rsidP="00191591">
      <w:pPr>
        <w:pStyle w:val="Prrafodelista"/>
        <w:jc w:val="both"/>
        <w:rPr>
          <w:rFonts w:ascii="Comic Sans MS" w:hAnsi="Comic Sans MS"/>
          <w:sz w:val="20"/>
          <w:szCs w:val="20"/>
        </w:rPr>
      </w:pPr>
      <w:r>
        <w:rPr>
          <w:rFonts w:ascii="Comic Sans MS" w:hAnsi="Comic Sans MS"/>
          <w:sz w:val="20"/>
          <w:szCs w:val="20"/>
        </w:rPr>
        <w:t xml:space="preserve">• </w:t>
      </w:r>
      <w:r w:rsidRPr="006B422B">
        <w:rPr>
          <w:rFonts w:ascii="Comic Sans MS" w:hAnsi="Comic Sans MS"/>
          <w:color w:val="FFC000"/>
          <w:sz w:val="20"/>
          <w:szCs w:val="20"/>
          <w:u w:val="single"/>
        </w:rPr>
        <w:t>Deudor domiciliado en el extranjero con bienes en el país:</w:t>
      </w:r>
      <w:r w:rsidRPr="006B422B">
        <w:rPr>
          <w:rFonts w:ascii="Comic Sans MS" w:hAnsi="Comic Sans MS"/>
          <w:color w:val="FFC000"/>
          <w:sz w:val="20"/>
          <w:szCs w:val="20"/>
        </w:rPr>
        <w:t xml:space="preserve"> </w:t>
      </w:r>
      <w:r>
        <w:rPr>
          <w:rFonts w:ascii="Comic Sans MS" w:hAnsi="Comic Sans MS"/>
          <w:sz w:val="20"/>
          <w:szCs w:val="20"/>
        </w:rPr>
        <w:t xml:space="preserve">es competente el juez del lugar del administración en el país y en su defecto el juez del lugar del establecimiento, actividad o bien principal. </w:t>
      </w:r>
      <w:r w:rsidR="00191591" w:rsidRPr="00191591">
        <w:rPr>
          <w:rFonts w:ascii="Comic Sans MS" w:hAnsi="Comic Sans MS"/>
          <w:sz w:val="20"/>
          <w:szCs w:val="20"/>
        </w:rPr>
        <w:t xml:space="preserve"> </w:t>
      </w:r>
    </w:p>
    <w:sectPr w:rsidR="00191591" w:rsidRPr="0019159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C269B"/>
    <w:multiLevelType w:val="hybridMultilevel"/>
    <w:tmpl w:val="907C6754"/>
    <w:lvl w:ilvl="0" w:tplc="7E52867C">
      <w:start w:val="1"/>
      <w:numFmt w:val="upperLetter"/>
      <w:lvlText w:val="%1)"/>
      <w:lvlJc w:val="left"/>
      <w:pPr>
        <w:ind w:left="720" w:hanging="360"/>
      </w:pPr>
      <w:rPr>
        <w:rFonts w:hint="default"/>
        <w:color w:val="0070C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15A20CFC"/>
    <w:multiLevelType w:val="hybridMultilevel"/>
    <w:tmpl w:val="F77CE692"/>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348F1F61"/>
    <w:multiLevelType w:val="hybridMultilevel"/>
    <w:tmpl w:val="B9B62032"/>
    <w:lvl w:ilvl="0" w:tplc="7BD88D24">
      <w:start w:val="1"/>
      <w:numFmt w:val="upperLetter"/>
      <w:lvlText w:val="%1)"/>
      <w:lvlJc w:val="left"/>
      <w:pPr>
        <w:ind w:left="720" w:hanging="360"/>
      </w:pPr>
      <w:rPr>
        <w:rFonts w:hint="default"/>
        <w:color w:val="0070C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3F927D8D"/>
    <w:multiLevelType w:val="hybridMultilevel"/>
    <w:tmpl w:val="51C09766"/>
    <w:lvl w:ilvl="0" w:tplc="B1AEEF96">
      <w:start w:val="1"/>
      <w:numFmt w:val="decimal"/>
      <w:lvlText w:val="%1)"/>
      <w:lvlJc w:val="left"/>
      <w:pPr>
        <w:ind w:left="1080" w:hanging="360"/>
      </w:pPr>
      <w:rPr>
        <w:rFonts w:hint="default"/>
        <w:color w:val="0070C0"/>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4">
    <w:nsid w:val="7B844BA9"/>
    <w:multiLevelType w:val="hybridMultilevel"/>
    <w:tmpl w:val="EA2427C0"/>
    <w:lvl w:ilvl="0" w:tplc="58EE25DE">
      <w:start w:val="1"/>
      <w:numFmt w:val="upperLetter"/>
      <w:lvlText w:val="%1)"/>
      <w:lvlJc w:val="left"/>
      <w:pPr>
        <w:ind w:left="720" w:hanging="360"/>
      </w:pPr>
      <w:rPr>
        <w:rFonts w:hint="default"/>
        <w:color w:val="0070C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F46"/>
    <w:rsid w:val="000353B5"/>
    <w:rsid w:val="00191591"/>
    <w:rsid w:val="003819F3"/>
    <w:rsid w:val="005E1109"/>
    <w:rsid w:val="00624ECA"/>
    <w:rsid w:val="006278FE"/>
    <w:rsid w:val="00693DCE"/>
    <w:rsid w:val="006B422B"/>
    <w:rsid w:val="006E6F46"/>
    <w:rsid w:val="00835F21"/>
    <w:rsid w:val="008831FA"/>
    <w:rsid w:val="009634E9"/>
    <w:rsid w:val="00A66737"/>
    <w:rsid w:val="00B22E37"/>
    <w:rsid w:val="00B67E86"/>
    <w:rsid w:val="00DB6915"/>
    <w:rsid w:val="00E903BA"/>
    <w:rsid w:val="00FC5F30"/>
    <w:rsid w:val="00FD1D74"/>
    <w:rsid w:val="00FE606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E6F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E6F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3</Pages>
  <Words>1039</Words>
  <Characters>5715</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belen pedace</dc:creator>
  <cp:lastModifiedBy>lucia belen pedace</cp:lastModifiedBy>
  <cp:revision>10</cp:revision>
  <dcterms:created xsi:type="dcterms:W3CDTF">2016-12-24T19:20:00Z</dcterms:created>
  <dcterms:modified xsi:type="dcterms:W3CDTF">2016-12-27T00:27:00Z</dcterms:modified>
</cp:coreProperties>
</file>