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AB9" w:rsidRDefault="00A43BF7" w:rsidP="00A43BF7">
      <w:pPr>
        <w:jc w:val="center"/>
        <w:rPr>
          <w:rFonts w:ascii="Comic Sans MS" w:hAnsi="Comic Sans MS"/>
          <w:b/>
          <w:color w:val="FF0000"/>
          <w:sz w:val="28"/>
          <w:szCs w:val="28"/>
          <w:u w:val="single"/>
        </w:rPr>
      </w:pPr>
      <w:r w:rsidRPr="00A43BF7">
        <w:rPr>
          <w:rFonts w:ascii="Comic Sans MS" w:hAnsi="Comic Sans MS"/>
          <w:b/>
          <w:color w:val="FF0000"/>
          <w:sz w:val="28"/>
          <w:szCs w:val="28"/>
          <w:u w:val="single"/>
        </w:rPr>
        <w:t>Acuerdo Preventivo Extrajudicial (</w:t>
      </w:r>
      <w:proofErr w:type="spellStart"/>
      <w:r w:rsidRPr="00A43BF7">
        <w:rPr>
          <w:rFonts w:ascii="Comic Sans MS" w:hAnsi="Comic Sans MS"/>
          <w:b/>
          <w:color w:val="FF0000"/>
          <w:sz w:val="28"/>
          <w:szCs w:val="28"/>
          <w:u w:val="single"/>
        </w:rPr>
        <w:t>Sdo</w:t>
      </w:r>
      <w:proofErr w:type="spellEnd"/>
      <w:r w:rsidRPr="00A43BF7">
        <w:rPr>
          <w:rFonts w:ascii="Comic Sans MS" w:hAnsi="Comic Sans MS"/>
          <w:b/>
          <w:color w:val="FF0000"/>
          <w:sz w:val="28"/>
          <w:szCs w:val="28"/>
          <w:u w:val="single"/>
        </w:rPr>
        <w:t xml:space="preserve">. Cuatrimestre 2016, </w:t>
      </w:r>
      <w:proofErr w:type="spellStart"/>
      <w:r w:rsidRPr="00A43BF7">
        <w:rPr>
          <w:rFonts w:ascii="Comic Sans MS" w:hAnsi="Comic Sans MS"/>
          <w:b/>
          <w:color w:val="FF0000"/>
          <w:sz w:val="28"/>
          <w:szCs w:val="28"/>
          <w:u w:val="single"/>
        </w:rPr>
        <w:t>sdo.Parcial</w:t>
      </w:r>
      <w:proofErr w:type="spellEnd"/>
      <w:r w:rsidRPr="00A43BF7">
        <w:rPr>
          <w:rFonts w:ascii="Comic Sans MS" w:hAnsi="Comic Sans MS"/>
          <w:b/>
          <w:color w:val="FF0000"/>
          <w:sz w:val="28"/>
          <w:szCs w:val="28"/>
          <w:u w:val="single"/>
        </w:rPr>
        <w:t>)</w:t>
      </w:r>
    </w:p>
    <w:p w:rsidR="00A43BF7" w:rsidRPr="0042511F" w:rsidRDefault="00A43BF7" w:rsidP="00A43BF7">
      <w:pPr>
        <w:jc w:val="both"/>
        <w:rPr>
          <w:rFonts w:ascii="Comic Sans MS" w:hAnsi="Comic Sans MS"/>
          <w:sz w:val="20"/>
          <w:szCs w:val="28"/>
        </w:rPr>
      </w:pPr>
      <w:r w:rsidRPr="00A43BF7">
        <w:rPr>
          <w:rFonts w:ascii="Comic Sans MS" w:hAnsi="Comic Sans MS"/>
          <w:color w:val="FF0000"/>
          <w:sz w:val="20"/>
          <w:szCs w:val="28"/>
        </w:rPr>
        <w:t>•</w:t>
      </w:r>
      <w:r>
        <w:rPr>
          <w:rFonts w:ascii="Comic Sans MS" w:hAnsi="Comic Sans MS"/>
          <w:sz w:val="20"/>
          <w:szCs w:val="28"/>
        </w:rPr>
        <w:t xml:space="preserve"> </w:t>
      </w:r>
      <w:r w:rsidRPr="0042511F">
        <w:rPr>
          <w:rFonts w:ascii="Comic Sans MS" w:hAnsi="Comic Sans MS"/>
          <w:sz w:val="20"/>
          <w:szCs w:val="28"/>
        </w:rPr>
        <w:t>Es un contrato celebrado entre un deudor y todos o parte de sus acreedores que puede ser sometido a homologación judicial. Tiene como fin evitar la apertura de un proceso concursal.</w:t>
      </w:r>
    </w:p>
    <w:p w:rsidR="00A43BF7" w:rsidRPr="0042511F" w:rsidRDefault="00A43BF7" w:rsidP="00A43BF7">
      <w:pPr>
        <w:jc w:val="both"/>
        <w:rPr>
          <w:rFonts w:ascii="Comic Sans MS" w:hAnsi="Comic Sans MS"/>
          <w:sz w:val="20"/>
          <w:szCs w:val="28"/>
        </w:rPr>
      </w:pPr>
      <w:r w:rsidRPr="0042511F">
        <w:rPr>
          <w:rFonts w:ascii="Comic Sans MS" w:hAnsi="Comic Sans MS"/>
          <w:color w:val="00B050"/>
          <w:sz w:val="20"/>
          <w:szCs w:val="28"/>
          <w:u w:val="single"/>
        </w:rPr>
        <w:t>Presupuesto Subjetivo:</w:t>
      </w:r>
      <w:r w:rsidRPr="0042511F">
        <w:rPr>
          <w:rFonts w:ascii="Comic Sans MS" w:hAnsi="Comic Sans MS"/>
          <w:sz w:val="20"/>
          <w:szCs w:val="28"/>
        </w:rPr>
        <w:t xml:space="preserve"> pueden solicitar la homologación de un A.P.E las mismas personas que pueden solicitar la apertura de su concurso preventivo. </w:t>
      </w:r>
    </w:p>
    <w:p w:rsidR="00A43BF7" w:rsidRPr="0042511F" w:rsidRDefault="00A43BF7" w:rsidP="00A43BF7">
      <w:pPr>
        <w:jc w:val="both"/>
        <w:rPr>
          <w:rFonts w:ascii="Comic Sans MS" w:hAnsi="Comic Sans MS"/>
          <w:sz w:val="20"/>
          <w:szCs w:val="28"/>
        </w:rPr>
      </w:pPr>
      <w:r w:rsidRPr="0042511F">
        <w:rPr>
          <w:rFonts w:ascii="Comic Sans MS" w:hAnsi="Comic Sans MS"/>
          <w:color w:val="00B050"/>
          <w:sz w:val="20"/>
          <w:szCs w:val="28"/>
          <w:u w:val="single"/>
        </w:rPr>
        <w:t>Presupuesto Objetivo:</w:t>
      </w:r>
      <w:r w:rsidRPr="0042511F">
        <w:rPr>
          <w:rFonts w:ascii="Comic Sans MS" w:hAnsi="Comic Sans MS"/>
          <w:sz w:val="20"/>
          <w:szCs w:val="28"/>
        </w:rPr>
        <w:t xml:space="preserve"> el deudor que se encontrare en cesación de pago o en dificultades económicas o financieras de carácter general, puede celebrar un acuerdo con sus acreedores y sometido a homologación judicial.</w:t>
      </w:r>
    </w:p>
    <w:p w:rsidR="00A43BF7" w:rsidRPr="0042511F" w:rsidRDefault="00A43BF7" w:rsidP="00A43BF7">
      <w:pPr>
        <w:jc w:val="both"/>
        <w:rPr>
          <w:rFonts w:ascii="Comic Sans MS" w:hAnsi="Comic Sans MS"/>
          <w:sz w:val="20"/>
          <w:szCs w:val="28"/>
        </w:rPr>
      </w:pPr>
      <w:r w:rsidRPr="0042511F">
        <w:rPr>
          <w:rFonts w:ascii="Comic Sans MS" w:hAnsi="Comic Sans MS"/>
          <w:sz w:val="20"/>
          <w:szCs w:val="28"/>
        </w:rPr>
        <w:t>Si bien hay quienes sostienen que se trata de sinónimos, la mayoría de la doctrina considera que las dificultades económicas o financieras constituyen la etapa previa a la cesación de pagos.</w:t>
      </w:r>
    </w:p>
    <w:p w:rsidR="00A43BF7" w:rsidRPr="0042511F" w:rsidRDefault="00A43BF7" w:rsidP="00A43BF7">
      <w:pPr>
        <w:jc w:val="both"/>
        <w:rPr>
          <w:rFonts w:ascii="Comic Sans MS" w:hAnsi="Comic Sans MS"/>
          <w:sz w:val="20"/>
          <w:szCs w:val="28"/>
        </w:rPr>
      </w:pPr>
      <w:r w:rsidRPr="0042511F">
        <w:rPr>
          <w:rFonts w:ascii="Comic Sans MS" w:hAnsi="Comic Sans MS"/>
          <w:color w:val="00B050"/>
          <w:sz w:val="20"/>
          <w:szCs w:val="28"/>
          <w:u w:val="single"/>
        </w:rPr>
        <w:t>Forma:</w:t>
      </w:r>
      <w:r w:rsidRPr="0042511F">
        <w:rPr>
          <w:rFonts w:ascii="Comic Sans MS" w:hAnsi="Comic Sans MS"/>
          <w:sz w:val="20"/>
          <w:szCs w:val="28"/>
        </w:rPr>
        <w:t xml:space="preserve"> el acuerdo puede celebrarse en instrumento público o privado. En este último caso, las firmas de las partes deben estar certificadas por escribano público. La ley no exige mayoría de acreedores </w:t>
      </w:r>
      <w:r w:rsidR="00D2441F" w:rsidRPr="0042511F">
        <w:rPr>
          <w:rFonts w:ascii="Comic Sans MS" w:hAnsi="Comic Sans MS"/>
          <w:sz w:val="20"/>
          <w:szCs w:val="28"/>
        </w:rPr>
        <w:t>para celebrar un A.P.E, aunque si lo exige para su homologación.</w:t>
      </w:r>
    </w:p>
    <w:p w:rsidR="00D2441F" w:rsidRPr="0042511F" w:rsidRDefault="00D2441F" w:rsidP="00A43BF7">
      <w:pPr>
        <w:jc w:val="both"/>
        <w:rPr>
          <w:rFonts w:ascii="Comic Sans MS" w:hAnsi="Comic Sans MS"/>
          <w:sz w:val="20"/>
          <w:szCs w:val="28"/>
        </w:rPr>
      </w:pPr>
      <w:r w:rsidRPr="0042511F">
        <w:rPr>
          <w:rFonts w:ascii="Comic Sans MS" w:hAnsi="Comic Sans MS"/>
          <w:color w:val="00B050"/>
          <w:sz w:val="20"/>
          <w:szCs w:val="28"/>
          <w:u w:val="single"/>
        </w:rPr>
        <w:t>Contenido:</w:t>
      </w:r>
      <w:r w:rsidRPr="0042511F">
        <w:rPr>
          <w:rFonts w:ascii="Comic Sans MS" w:hAnsi="Comic Sans MS"/>
          <w:sz w:val="20"/>
          <w:szCs w:val="28"/>
        </w:rPr>
        <w:t xml:space="preserve"> las partes pueden elegir el que consideren conveniente, teniendo plena libertad para ello. </w:t>
      </w:r>
    </w:p>
    <w:p w:rsidR="00D2441F" w:rsidRPr="0042511F" w:rsidRDefault="00D2441F" w:rsidP="00A43BF7">
      <w:pPr>
        <w:jc w:val="both"/>
        <w:rPr>
          <w:rFonts w:ascii="Comic Sans MS" w:hAnsi="Comic Sans MS"/>
          <w:sz w:val="20"/>
          <w:szCs w:val="28"/>
        </w:rPr>
      </w:pPr>
      <w:r w:rsidRPr="0042511F">
        <w:rPr>
          <w:rFonts w:ascii="Comic Sans MS" w:hAnsi="Comic Sans MS"/>
          <w:color w:val="00B050"/>
          <w:sz w:val="20"/>
          <w:szCs w:val="28"/>
          <w:u w:val="single"/>
        </w:rPr>
        <w:t>Efectos del acuerdo:</w:t>
      </w:r>
      <w:r w:rsidRPr="0042511F">
        <w:rPr>
          <w:rFonts w:ascii="Comic Sans MS" w:hAnsi="Comic Sans MS"/>
          <w:sz w:val="20"/>
          <w:szCs w:val="28"/>
        </w:rPr>
        <w:t xml:space="preserve"> el acuerdo sin homologar es obligatorio para las partes que lo firmaron, pero si es homologado será obligatorio para todos los acreedores.</w:t>
      </w:r>
    </w:p>
    <w:p w:rsidR="00373769" w:rsidRPr="0042511F" w:rsidRDefault="00373769" w:rsidP="00A43BF7">
      <w:pPr>
        <w:jc w:val="both"/>
        <w:rPr>
          <w:rFonts w:ascii="Comic Sans MS" w:hAnsi="Comic Sans MS"/>
          <w:b/>
          <w:color w:val="FF0000"/>
          <w:sz w:val="24"/>
          <w:szCs w:val="24"/>
          <w:u w:val="single"/>
        </w:rPr>
      </w:pPr>
      <w:r w:rsidRPr="0042511F">
        <w:rPr>
          <w:rFonts w:ascii="Comic Sans MS" w:hAnsi="Comic Sans MS"/>
          <w:b/>
          <w:color w:val="FF0000"/>
          <w:sz w:val="24"/>
          <w:szCs w:val="24"/>
          <w:u w:val="single"/>
        </w:rPr>
        <w:t>Homologación Judicial del A.P.E:</w:t>
      </w:r>
    </w:p>
    <w:p w:rsidR="00373769" w:rsidRPr="0042511F" w:rsidRDefault="00373769" w:rsidP="00A43BF7">
      <w:pPr>
        <w:jc w:val="both"/>
        <w:rPr>
          <w:rFonts w:ascii="Comic Sans MS" w:hAnsi="Comic Sans MS"/>
          <w:sz w:val="20"/>
          <w:szCs w:val="24"/>
        </w:rPr>
      </w:pPr>
      <w:r w:rsidRPr="0042511F">
        <w:rPr>
          <w:rFonts w:ascii="Comic Sans MS" w:hAnsi="Comic Sans MS"/>
          <w:color w:val="00B050"/>
          <w:sz w:val="20"/>
          <w:szCs w:val="28"/>
          <w:u w:val="single"/>
        </w:rPr>
        <w:t>Requisitos para solicitar la homologación:</w:t>
      </w:r>
      <w:r w:rsidRPr="0042511F">
        <w:rPr>
          <w:rFonts w:ascii="Comic Sans MS" w:hAnsi="Comic Sans MS"/>
          <w:sz w:val="20"/>
          <w:szCs w:val="24"/>
        </w:rPr>
        <w:t xml:space="preserve"> el deudor debe presentar al juez, junto con </w:t>
      </w:r>
      <w:proofErr w:type="spellStart"/>
      <w:r w:rsidRPr="0042511F">
        <w:rPr>
          <w:rFonts w:ascii="Comic Sans MS" w:hAnsi="Comic Sans MS"/>
          <w:sz w:val="20"/>
          <w:szCs w:val="24"/>
        </w:rPr>
        <w:t>con</w:t>
      </w:r>
      <w:proofErr w:type="spellEnd"/>
      <w:r w:rsidRPr="0042511F">
        <w:rPr>
          <w:rFonts w:ascii="Comic Sans MS" w:hAnsi="Comic Sans MS"/>
          <w:sz w:val="20"/>
          <w:szCs w:val="24"/>
        </w:rPr>
        <w:t xml:space="preserve"> el acuerdo, los siguientes documentos:</w:t>
      </w:r>
    </w:p>
    <w:p w:rsidR="00373769" w:rsidRPr="0042511F" w:rsidRDefault="00373769" w:rsidP="00373769">
      <w:pPr>
        <w:pStyle w:val="Prrafodelista"/>
        <w:numPr>
          <w:ilvl w:val="0"/>
          <w:numId w:val="1"/>
        </w:numPr>
        <w:jc w:val="both"/>
        <w:rPr>
          <w:rFonts w:ascii="Comic Sans MS" w:hAnsi="Comic Sans MS"/>
          <w:sz w:val="20"/>
          <w:szCs w:val="24"/>
        </w:rPr>
      </w:pPr>
      <w:r w:rsidRPr="0042511F">
        <w:rPr>
          <w:rFonts w:ascii="Comic Sans MS" w:hAnsi="Comic Sans MS"/>
          <w:sz w:val="20"/>
          <w:szCs w:val="24"/>
        </w:rPr>
        <w:t>Un estado de activo y pasivo.</w:t>
      </w:r>
    </w:p>
    <w:p w:rsidR="00373769" w:rsidRPr="0042511F" w:rsidRDefault="00373769" w:rsidP="00373769">
      <w:pPr>
        <w:pStyle w:val="Prrafodelista"/>
        <w:numPr>
          <w:ilvl w:val="0"/>
          <w:numId w:val="1"/>
        </w:numPr>
        <w:jc w:val="both"/>
        <w:rPr>
          <w:rFonts w:ascii="Comic Sans MS" w:hAnsi="Comic Sans MS"/>
          <w:sz w:val="20"/>
          <w:szCs w:val="24"/>
        </w:rPr>
      </w:pPr>
      <w:r w:rsidRPr="0042511F">
        <w:rPr>
          <w:rFonts w:ascii="Comic Sans MS" w:hAnsi="Comic Sans MS"/>
          <w:sz w:val="20"/>
          <w:szCs w:val="24"/>
        </w:rPr>
        <w:t xml:space="preserve">Un listado de acreedores además, el contador debe expresar que no existen </w:t>
      </w:r>
      <w:r w:rsidR="0042511F" w:rsidRPr="0042511F">
        <w:rPr>
          <w:rFonts w:ascii="Comic Sans MS" w:hAnsi="Comic Sans MS"/>
          <w:sz w:val="20"/>
          <w:szCs w:val="24"/>
        </w:rPr>
        <w:t>otros acreedores registrados y debe detallar la contabilidad y la documentación que respaldan su afirmación.</w:t>
      </w:r>
    </w:p>
    <w:p w:rsidR="0042511F" w:rsidRPr="0042511F" w:rsidRDefault="0042511F" w:rsidP="00373769">
      <w:pPr>
        <w:pStyle w:val="Prrafodelista"/>
        <w:numPr>
          <w:ilvl w:val="0"/>
          <w:numId w:val="1"/>
        </w:numPr>
        <w:jc w:val="both"/>
        <w:rPr>
          <w:rFonts w:ascii="Comic Sans MS" w:hAnsi="Comic Sans MS"/>
          <w:sz w:val="20"/>
          <w:szCs w:val="24"/>
        </w:rPr>
      </w:pPr>
      <w:r w:rsidRPr="0042511F">
        <w:rPr>
          <w:rFonts w:ascii="Comic Sans MS" w:hAnsi="Comic Sans MS"/>
          <w:sz w:val="20"/>
          <w:szCs w:val="24"/>
        </w:rPr>
        <w:t>Un listado de juicios o procesos administrativos en trámite o con condena no cumplida, precisando su radicación.</w:t>
      </w:r>
    </w:p>
    <w:p w:rsidR="0042511F" w:rsidRDefault="0042511F" w:rsidP="00373769">
      <w:pPr>
        <w:pStyle w:val="Prrafodelista"/>
        <w:numPr>
          <w:ilvl w:val="0"/>
          <w:numId w:val="1"/>
        </w:numPr>
        <w:jc w:val="both"/>
        <w:rPr>
          <w:rFonts w:ascii="Comic Sans MS" w:hAnsi="Comic Sans MS"/>
          <w:sz w:val="20"/>
          <w:szCs w:val="24"/>
        </w:rPr>
      </w:pPr>
      <w:r w:rsidRPr="0042511F">
        <w:rPr>
          <w:rFonts w:ascii="Comic Sans MS" w:hAnsi="Comic Sans MS"/>
          <w:sz w:val="20"/>
          <w:szCs w:val="24"/>
        </w:rPr>
        <w:t>Enumerar los l</w:t>
      </w:r>
      <w:r>
        <w:rPr>
          <w:rFonts w:ascii="Comic Sans MS" w:hAnsi="Comic Sans MS"/>
          <w:sz w:val="20"/>
          <w:szCs w:val="24"/>
        </w:rPr>
        <w:t>ibros de comercio que lleve el deudor.</w:t>
      </w:r>
    </w:p>
    <w:p w:rsidR="0042511F" w:rsidRDefault="0042511F" w:rsidP="00373769">
      <w:pPr>
        <w:pStyle w:val="Prrafodelista"/>
        <w:numPr>
          <w:ilvl w:val="0"/>
          <w:numId w:val="1"/>
        </w:numPr>
        <w:jc w:val="both"/>
        <w:rPr>
          <w:rFonts w:ascii="Comic Sans MS" w:hAnsi="Comic Sans MS"/>
          <w:sz w:val="20"/>
          <w:szCs w:val="24"/>
        </w:rPr>
      </w:pPr>
      <w:r>
        <w:rPr>
          <w:rFonts w:ascii="Comic Sans MS" w:hAnsi="Comic Sans MS"/>
          <w:sz w:val="20"/>
          <w:szCs w:val="24"/>
        </w:rPr>
        <w:t>El monto de capital que representan los acreedores que firmaron el acuerdo, y el porcentaje que representan respecto de todos los acreedores registrados.</w:t>
      </w:r>
    </w:p>
    <w:p w:rsidR="0042511F" w:rsidRDefault="0042511F" w:rsidP="0042511F">
      <w:pPr>
        <w:jc w:val="both"/>
        <w:rPr>
          <w:rFonts w:ascii="Comic Sans MS" w:hAnsi="Comic Sans MS"/>
          <w:sz w:val="20"/>
          <w:szCs w:val="24"/>
        </w:rPr>
      </w:pPr>
    </w:p>
    <w:p w:rsidR="0042511F" w:rsidRDefault="0042511F" w:rsidP="0042511F">
      <w:pPr>
        <w:jc w:val="both"/>
        <w:rPr>
          <w:rFonts w:ascii="Comic Sans MS" w:hAnsi="Comic Sans MS"/>
          <w:sz w:val="20"/>
          <w:szCs w:val="24"/>
        </w:rPr>
      </w:pPr>
      <w:r w:rsidRPr="0042511F">
        <w:rPr>
          <w:rFonts w:ascii="Comic Sans MS" w:hAnsi="Comic Sans MS"/>
          <w:color w:val="00B050"/>
          <w:sz w:val="20"/>
          <w:szCs w:val="28"/>
          <w:u w:val="single"/>
        </w:rPr>
        <w:t>Mayorías:</w:t>
      </w:r>
      <w:r>
        <w:rPr>
          <w:rFonts w:ascii="Comic Sans MS" w:hAnsi="Comic Sans MS"/>
          <w:sz w:val="20"/>
          <w:szCs w:val="24"/>
        </w:rPr>
        <w:t xml:space="preserve"> para la homologación del acuerdo es necesario que hayan prestado su conformidad:</w:t>
      </w:r>
    </w:p>
    <w:p w:rsidR="0042511F" w:rsidRPr="0042511F" w:rsidRDefault="0042511F" w:rsidP="0042511F">
      <w:pPr>
        <w:pStyle w:val="Prrafodelista"/>
        <w:numPr>
          <w:ilvl w:val="0"/>
          <w:numId w:val="3"/>
        </w:numPr>
        <w:jc w:val="both"/>
        <w:rPr>
          <w:rFonts w:ascii="Comic Sans MS" w:hAnsi="Comic Sans MS"/>
          <w:sz w:val="20"/>
          <w:szCs w:val="24"/>
        </w:rPr>
      </w:pPr>
      <w:r w:rsidRPr="0042511F">
        <w:rPr>
          <w:rFonts w:ascii="Comic Sans MS" w:hAnsi="Comic Sans MS"/>
          <w:sz w:val="20"/>
          <w:szCs w:val="24"/>
        </w:rPr>
        <w:t>La mayoría absoluta de los acreedores quirografarios.</w:t>
      </w:r>
    </w:p>
    <w:p w:rsidR="00E92A79" w:rsidRDefault="0042511F" w:rsidP="00E92A79">
      <w:pPr>
        <w:pStyle w:val="Prrafodelista"/>
        <w:numPr>
          <w:ilvl w:val="0"/>
          <w:numId w:val="3"/>
        </w:numPr>
        <w:jc w:val="both"/>
        <w:rPr>
          <w:rFonts w:ascii="Comic Sans MS" w:hAnsi="Comic Sans MS"/>
          <w:sz w:val="20"/>
          <w:szCs w:val="24"/>
        </w:rPr>
      </w:pPr>
      <w:r w:rsidRPr="0042511F">
        <w:rPr>
          <w:rFonts w:ascii="Comic Sans MS" w:hAnsi="Comic Sans MS"/>
          <w:sz w:val="20"/>
          <w:szCs w:val="24"/>
        </w:rPr>
        <w:t xml:space="preserve">Que representen los 2/3 del pasivo quirografario total. </w:t>
      </w:r>
    </w:p>
    <w:p w:rsidR="00E92A79" w:rsidRDefault="00E92A79" w:rsidP="00E92A79">
      <w:pPr>
        <w:jc w:val="both"/>
        <w:rPr>
          <w:rFonts w:ascii="Comic Sans MS" w:hAnsi="Comic Sans MS"/>
          <w:sz w:val="20"/>
          <w:szCs w:val="24"/>
        </w:rPr>
      </w:pPr>
    </w:p>
    <w:p w:rsidR="00E92A79" w:rsidRDefault="00E92A79" w:rsidP="00E92A79">
      <w:pPr>
        <w:jc w:val="both"/>
        <w:rPr>
          <w:rFonts w:ascii="Comic Sans MS" w:hAnsi="Comic Sans MS"/>
          <w:sz w:val="20"/>
          <w:szCs w:val="24"/>
        </w:rPr>
      </w:pPr>
      <w:r w:rsidRPr="002076F6">
        <w:rPr>
          <w:rFonts w:ascii="Comic Sans MS" w:hAnsi="Comic Sans MS"/>
          <w:color w:val="00B050"/>
          <w:sz w:val="20"/>
          <w:szCs w:val="28"/>
          <w:u w:val="single"/>
        </w:rPr>
        <w:lastRenderedPageBreak/>
        <w:t>Publicidad:</w:t>
      </w:r>
      <w:r>
        <w:rPr>
          <w:rFonts w:ascii="Comic Sans MS" w:hAnsi="Comic Sans MS"/>
          <w:sz w:val="20"/>
          <w:szCs w:val="24"/>
        </w:rPr>
        <w:t xml:space="preserve"> </w:t>
      </w:r>
      <w:r w:rsidR="00CE52E4">
        <w:rPr>
          <w:rFonts w:ascii="Comic Sans MS" w:hAnsi="Comic Sans MS"/>
          <w:sz w:val="20"/>
          <w:szCs w:val="24"/>
        </w:rPr>
        <w:t xml:space="preserve">la presentación del acuerdo para su homologación debe publicarse mediante edictos por 5 días en el diario de publicaciones legales, de la jurisdicción del tribunal, en un diario de gran circulación del lugar, y en todas las jurisdicciones donde el deudor tuviere establecimientos. </w:t>
      </w:r>
    </w:p>
    <w:p w:rsidR="00CE52E4" w:rsidRDefault="00CE52E4" w:rsidP="00E92A79">
      <w:pPr>
        <w:jc w:val="both"/>
        <w:rPr>
          <w:rFonts w:ascii="Comic Sans MS" w:hAnsi="Comic Sans MS"/>
          <w:sz w:val="20"/>
          <w:szCs w:val="24"/>
        </w:rPr>
      </w:pPr>
      <w:r w:rsidRPr="002076F6">
        <w:rPr>
          <w:rFonts w:ascii="Comic Sans MS" w:hAnsi="Comic Sans MS"/>
          <w:color w:val="00B050"/>
          <w:sz w:val="20"/>
          <w:szCs w:val="28"/>
          <w:u w:val="single"/>
        </w:rPr>
        <w:t>Efectos de la publicidad:</w:t>
      </w:r>
      <w:r>
        <w:rPr>
          <w:rFonts w:ascii="Comic Sans MS" w:hAnsi="Comic Sans MS"/>
          <w:sz w:val="20"/>
          <w:szCs w:val="24"/>
        </w:rPr>
        <w:t xml:space="preserve"> ordenada la publicación de edictos, quedan suspendidas todas las acciones de contenido patrimonial contra el deudor, excepto los procesos excluidos del fuero de atracción. Es decir, juicios laborales, juicios de expropiación, procesos fundados en relaciones de familia, etc. En estos casos los acreedores conservaran sus acciones individuales. </w:t>
      </w:r>
    </w:p>
    <w:p w:rsidR="00CE52E4" w:rsidRDefault="00CE52E4" w:rsidP="00E92A79">
      <w:pPr>
        <w:jc w:val="both"/>
        <w:rPr>
          <w:rFonts w:ascii="Comic Sans MS" w:hAnsi="Comic Sans MS"/>
          <w:sz w:val="20"/>
          <w:szCs w:val="24"/>
        </w:rPr>
      </w:pPr>
      <w:r w:rsidRPr="00C25CF6">
        <w:rPr>
          <w:rFonts w:ascii="Comic Sans MS" w:hAnsi="Comic Sans MS"/>
          <w:color w:val="00B050"/>
          <w:sz w:val="20"/>
          <w:szCs w:val="28"/>
          <w:u w:val="single"/>
        </w:rPr>
        <w:t>Oposición:</w:t>
      </w:r>
      <w:r>
        <w:rPr>
          <w:rFonts w:ascii="Comic Sans MS" w:hAnsi="Comic Sans MS"/>
          <w:sz w:val="20"/>
          <w:szCs w:val="24"/>
        </w:rPr>
        <w:t xml:space="preserve"> </w:t>
      </w:r>
      <w:r w:rsidR="002076F6">
        <w:rPr>
          <w:rFonts w:ascii="Comic Sans MS" w:hAnsi="Comic Sans MS"/>
          <w:sz w:val="20"/>
          <w:szCs w:val="24"/>
        </w:rPr>
        <w:t>podrán oponerse al acuerdo dentro de los 10 días posteriores a la última publicación de edictos, los acreedores denunciados y aquellos que demuestren haber sido omitidos en el listado de acreedores presentados por el deudor al solicitar la homologación.</w:t>
      </w:r>
    </w:p>
    <w:p w:rsidR="002076F6" w:rsidRPr="00C25CF6" w:rsidRDefault="00C25CF6" w:rsidP="00E92A79">
      <w:pPr>
        <w:jc w:val="both"/>
        <w:rPr>
          <w:rFonts w:ascii="Comic Sans MS" w:hAnsi="Comic Sans MS"/>
          <w:color w:val="00B0F0"/>
          <w:sz w:val="20"/>
          <w:szCs w:val="24"/>
          <w:u w:val="single"/>
        </w:rPr>
      </w:pPr>
      <w:r w:rsidRPr="00C25CF6">
        <w:rPr>
          <w:rFonts w:ascii="Comic Sans MS" w:hAnsi="Comic Sans MS"/>
          <w:color w:val="00B0F0"/>
          <w:sz w:val="20"/>
          <w:szCs w:val="24"/>
          <w:u w:val="single"/>
        </w:rPr>
        <w:t>La oposición solo podrá fundarse en:</w:t>
      </w:r>
    </w:p>
    <w:p w:rsidR="00C25CF6" w:rsidRPr="00C25CF6" w:rsidRDefault="00C25CF6" w:rsidP="00C25CF6">
      <w:pPr>
        <w:pStyle w:val="Prrafodelista"/>
        <w:numPr>
          <w:ilvl w:val="0"/>
          <w:numId w:val="3"/>
        </w:numPr>
        <w:jc w:val="both"/>
        <w:rPr>
          <w:rFonts w:ascii="Comic Sans MS" w:hAnsi="Comic Sans MS"/>
          <w:sz w:val="20"/>
          <w:szCs w:val="24"/>
        </w:rPr>
      </w:pPr>
      <w:r w:rsidRPr="00C25CF6">
        <w:rPr>
          <w:rFonts w:ascii="Comic Sans MS" w:hAnsi="Comic Sans MS"/>
          <w:sz w:val="20"/>
          <w:szCs w:val="24"/>
        </w:rPr>
        <w:t>Omisiones o exageraciones del activo o pasivo.</w:t>
      </w:r>
    </w:p>
    <w:p w:rsidR="00C25CF6" w:rsidRPr="00C25CF6" w:rsidRDefault="00C25CF6" w:rsidP="00C25CF6">
      <w:pPr>
        <w:pStyle w:val="Prrafodelista"/>
        <w:numPr>
          <w:ilvl w:val="0"/>
          <w:numId w:val="3"/>
        </w:numPr>
        <w:jc w:val="both"/>
        <w:rPr>
          <w:rFonts w:ascii="Comic Sans MS" w:hAnsi="Comic Sans MS"/>
          <w:sz w:val="20"/>
          <w:szCs w:val="24"/>
        </w:rPr>
      </w:pPr>
      <w:r w:rsidRPr="00C25CF6">
        <w:rPr>
          <w:rFonts w:ascii="Comic Sans MS" w:hAnsi="Comic Sans MS"/>
          <w:sz w:val="20"/>
          <w:szCs w:val="24"/>
        </w:rPr>
        <w:t>En la inexistencia de la mayoría exigida para la homologación.</w:t>
      </w:r>
    </w:p>
    <w:p w:rsidR="00C25CF6" w:rsidRDefault="00C25CF6" w:rsidP="00E92A79">
      <w:pPr>
        <w:jc w:val="both"/>
        <w:rPr>
          <w:rFonts w:ascii="Comic Sans MS" w:hAnsi="Comic Sans MS"/>
          <w:sz w:val="20"/>
          <w:szCs w:val="24"/>
        </w:rPr>
      </w:pPr>
      <w:r>
        <w:rPr>
          <w:rFonts w:ascii="Comic Sans MS" w:hAnsi="Comic Sans MS"/>
          <w:sz w:val="20"/>
          <w:szCs w:val="24"/>
        </w:rPr>
        <w:t>De ser necesario se abrirá a prueba y el juez deberá resolver. Si estuvieron cumplidos los requisitos legales y no mediaran oposiciones, el juez homologara el acuerdo.</w:t>
      </w:r>
    </w:p>
    <w:p w:rsidR="00C25CF6" w:rsidRPr="00E92A79" w:rsidRDefault="00C25CF6" w:rsidP="00E92A79">
      <w:pPr>
        <w:jc w:val="both"/>
        <w:rPr>
          <w:rFonts w:ascii="Comic Sans MS" w:hAnsi="Comic Sans MS"/>
          <w:sz w:val="20"/>
          <w:szCs w:val="24"/>
        </w:rPr>
      </w:pPr>
      <w:r w:rsidRPr="00C25CF6">
        <w:rPr>
          <w:rFonts w:ascii="Comic Sans MS" w:hAnsi="Comic Sans MS"/>
          <w:color w:val="00B050"/>
          <w:sz w:val="20"/>
          <w:szCs w:val="24"/>
          <w:u w:val="single"/>
        </w:rPr>
        <w:t>Efectos de la homologación:</w:t>
      </w:r>
      <w:r>
        <w:rPr>
          <w:rFonts w:ascii="Comic Sans MS" w:hAnsi="Comic Sans MS"/>
          <w:sz w:val="20"/>
          <w:szCs w:val="24"/>
        </w:rPr>
        <w:t xml:space="preserve"> establece que el mismo se opone a todos los acreedores, aunque no hayan prestado su conformidad. </w:t>
      </w:r>
    </w:p>
    <w:p w:rsidR="00373769" w:rsidRPr="0042511F" w:rsidRDefault="00373769" w:rsidP="00A43BF7">
      <w:pPr>
        <w:jc w:val="both"/>
        <w:rPr>
          <w:rFonts w:ascii="Comic Sans MS" w:hAnsi="Comic Sans MS"/>
          <w:b/>
          <w:color w:val="FF0000"/>
          <w:sz w:val="28"/>
          <w:szCs w:val="24"/>
          <w:u w:val="single"/>
        </w:rPr>
      </w:pPr>
    </w:p>
    <w:p w:rsidR="00373769" w:rsidRPr="0042511F" w:rsidRDefault="00373769" w:rsidP="00A43BF7">
      <w:pPr>
        <w:jc w:val="both"/>
        <w:rPr>
          <w:rFonts w:ascii="Comic Sans MS" w:hAnsi="Comic Sans MS"/>
          <w:szCs w:val="28"/>
        </w:rPr>
      </w:pPr>
    </w:p>
    <w:p w:rsidR="00A43BF7" w:rsidRPr="00A43BF7" w:rsidRDefault="00A43BF7" w:rsidP="00A43BF7">
      <w:pPr>
        <w:jc w:val="both"/>
        <w:rPr>
          <w:rFonts w:ascii="Comic Sans MS" w:hAnsi="Comic Sans MS"/>
          <w:sz w:val="20"/>
          <w:szCs w:val="28"/>
        </w:rPr>
      </w:pPr>
      <w:bookmarkStart w:id="0" w:name="_GoBack"/>
      <w:bookmarkEnd w:id="0"/>
    </w:p>
    <w:sectPr w:rsidR="00A43BF7" w:rsidRPr="00A43B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56C5"/>
    <w:multiLevelType w:val="hybridMultilevel"/>
    <w:tmpl w:val="F86E34EE"/>
    <w:lvl w:ilvl="0" w:tplc="74BCCC8E">
      <w:numFmt w:val="bullet"/>
      <w:lvlText w:val="•"/>
      <w:lvlJc w:val="left"/>
      <w:pPr>
        <w:ind w:left="720" w:hanging="360"/>
      </w:pPr>
      <w:rPr>
        <w:rFonts w:ascii="Comic Sans MS" w:eastAsiaTheme="minorHAnsi" w:hAnsi="Comic Sans M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60846CA"/>
    <w:multiLevelType w:val="hybridMultilevel"/>
    <w:tmpl w:val="60C8311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4A3631DD"/>
    <w:multiLevelType w:val="hybridMultilevel"/>
    <w:tmpl w:val="2264BA6E"/>
    <w:lvl w:ilvl="0" w:tplc="74BCCC8E">
      <w:numFmt w:val="bullet"/>
      <w:lvlText w:val="•"/>
      <w:lvlJc w:val="left"/>
      <w:pPr>
        <w:ind w:left="720" w:hanging="360"/>
      </w:pPr>
      <w:rPr>
        <w:rFonts w:ascii="Comic Sans MS" w:eastAsiaTheme="minorHAnsi" w:hAnsi="Comic Sans M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7C290C18"/>
    <w:multiLevelType w:val="hybridMultilevel"/>
    <w:tmpl w:val="3D2C29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BF7"/>
    <w:rsid w:val="002076F6"/>
    <w:rsid w:val="00373769"/>
    <w:rsid w:val="0042511F"/>
    <w:rsid w:val="00631BB3"/>
    <w:rsid w:val="00965617"/>
    <w:rsid w:val="00A43BF7"/>
    <w:rsid w:val="00C25CF6"/>
    <w:rsid w:val="00C74D50"/>
    <w:rsid w:val="00CE4AB9"/>
    <w:rsid w:val="00CE52E4"/>
    <w:rsid w:val="00D2441F"/>
    <w:rsid w:val="00E92A7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37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3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555</Words>
  <Characters>3058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pedace</dc:creator>
  <cp:lastModifiedBy>lucia belen pedace</cp:lastModifiedBy>
  <cp:revision>5</cp:revision>
  <dcterms:created xsi:type="dcterms:W3CDTF">2017-03-14T23:53:00Z</dcterms:created>
  <dcterms:modified xsi:type="dcterms:W3CDTF">2017-03-15T00:41:00Z</dcterms:modified>
</cp:coreProperties>
</file>